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
        <w:rPr>
          <w:rFonts w:ascii="Arial" w:hAnsi="Arial"/>
        </w:rPr>
      </w:pPr>
      <w:r>
        <w:rPr>
          <w:rFonts w:cs="Arial" w:ascii="Arial" w:hAnsi="Arial"/>
        </w:rPr>
        <w:t>AEROPUERTO INTERNACIONAL ROSARIO</w:t>
      </w:r>
    </w:p>
    <w:p>
      <w:pPr>
        <w:pStyle w:val="Normal"/>
        <w:jc w:val="center"/>
        <w:rPr>
          <w:rFonts w:ascii="Arial" w:hAnsi="Arial"/>
        </w:rPr>
      </w:pPr>
      <w:r>
        <w:rPr>
          <w:rFonts w:cs="Arial" w:ascii="Arial" w:hAnsi="Arial"/>
          <w:b/>
          <w:sz w:val="24"/>
          <w:lang w:val="es-ES" w:eastAsia="es-AR"/>
        </w:rPr>
        <w:t>Casilla de Correo Nº 10 Funes (2132) – Tel/Fax (0341) 4512997/3220</w:t>
      </w:r>
    </w:p>
    <w:p>
      <w:pPr>
        <w:pStyle w:val="Normal"/>
        <w:jc w:val="center"/>
        <w:rPr>
          <w:rFonts w:ascii="Arial" w:hAnsi="Arial" w:cs="Arial"/>
          <w:b/>
          <w:b/>
          <w:sz w:val="24"/>
          <w:lang w:val="es-ES" w:eastAsia="es-AR"/>
        </w:rPr>
      </w:pPr>
      <w:r>
        <w:rPr>
          <w:rFonts w:cs="Arial" w:ascii="Arial" w:hAnsi="Arial"/>
          <w:b/>
          <w:sz w:val="24"/>
          <w:lang w:val="es-ES" w:eastAsia="es-AR"/>
        </w:rPr>
      </w:r>
    </w:p>
    <w:p>
      <w:pPr>
        <w:pStyle w:val="Normal"/>
        <w:jc w:val="center"/>
        <w:rPr/>
      </w:pPr>
      <w:r>
        <w:rPr>
          <w:rFonts w:cs="Arial" w:ascii="Arial" w:hAnsi="Arial"/>
          <w:b/>
          <w:sz w:val="24"/>
          <w:lang w:val="es-ES" w:eastAsia="es-AR"/>
        </w:rPr>
        <w:t xml:space="preserve">CONCURSO DE PRECIOS  Nº </w:t>
      </w:r>
      <w:r>
        <w:rPr>
          <w:rFonts w:cs="Arial" w:ascii="Arial" w:hAnsi="Arial"/>
          <w:b/>
          <w:sz w:val="24"/>
          <w:lang w:val="es-ES" w:eastAsia="es-AR"/>
        </w:rPr>
        <w:t>2</w:t>
      </w:r>
      <w:r>
        <w:rPr>
          <w:rFonts w:cs="Arial" w:ascii="Arial" w:hAnsi="Arial"/>
          <w:b/>
          <w:sz w:val="24"/>
          <w:lang w:val="es-ES" w:eastAsia="es-AR"/>
        </w:rPr>
        <w:t>7/2017</w:t>
      </w:r>
    </w:p>
    <w:p>
      <w:pPr>
        <w:pStyle w:val="Normal"/>
        <w:jc w:val="center"/>
        <w:rPr/>
      </w:pPr>
      <w:r>
        <w:rPr>
          <w:rFonts w:cs="Arial" w:ascii="Arial" w:hAnsi="Arial"/>
          <w:sz w:val="24"/>
          <w:lang w:val="es-ES" w:eastAsia="es-AR"/>
        </w:rPr>
        <w:t>Expediente Nº01806-0001</w:t>
      </w:r>
      <w:r>
        <w:rPr>
          <w:rFonts w:cs="Arial" w:ascii="Arial" w:hAnsi="Arial"/>
          <w:sz w:val="24"/>
          <w:lang w:val="es-ES" w:eastAsia="es-AR"/>
        </w:rPr>
        <w:t>157-3</w:t>
      </w:r>
    </w:p>
    <w:p>
      <w:pPr>
        <w:pStyle w:val="Normal"/>
        <w:jc w:val="center"/>
        <w:rPr>
          <w:rFonts w:ascii="Arial" w:hAnsi="Arial" w:cs="Arial"/>
          <w:sz w:val="24"/>
          <w:lang w:val="es-ES" w:eastAsia="es-AR"/>
        </w:rPr>
      </w:pPr>
      <w:r>
        <w:rPr>
          <w:rFonts w:cs="Arial" w:ascii="Arial" w:hAnsi="Arial"/>
          <w:sz w:val="24"/>
          <w:lang w:val="es-ES" w:eastAsia="es-AR"/>
        </w:rPr>
      </w:r>
    </w:p>
    <w:p>
      <w:pPr>
        <w:pStyle w:val="Normal"/>
        <w:jc w:val="both"/>
        <w:rPr/>
      </w:pPr>
      <w:bookmarkStart w:id="0" w:name="__DdeLink__195_1589235072"/>
      <w:r>
        <w:rPr>
          <w:rFonts w:cs="Arial" w:ascii="Arial" w:hAnsi="Arial"/>
          <w:b/>
          <w:sz w:val="24"/>
          <w:lang w:val="es-ES" w:eastAsia="es-AR"/>
        </w:rPr>
        <w:t>OBJETO:</w:t>
      </w:r>
      <w:bookmarkEnd w:id="0"/>
      <w:r>
        <w:rPr>
          <w:rFonts w:cs="Arial" w:ascii="Arial" w:hAnsi="Arial"/>
          <w:b/>
          <w:sz w:val="24"/>
          <w:szCs w:val="24"/>
          <w:lang w:val="es-ES" w:eastAsia="es-AR"/>
        </w:rPr>
        <w:t xml:space="preserve"> </w:t>
      </w:r>
      <w:bookmarkStart w:id="1" w:name="__DdeLink__212_1793776623"/>
      <w:bookmarkEnd w:id="1"/>
      <w:r>
        <w:rPr>
          <w:rFonts w:cs="Arial" w:ascii="Arial" w:hAnsi="Arial"/>
          <w:b/>
          <w:sz w:val="24"/>
          <w:szCs w:val="24"/>
          <w:lang w:val="es-ES" w:eastAsia="es-AR"/>
        </w:rPr>
        <w:t>EJECUCIÓN DE LA ESTRUCTURA DE FUNDACIÓN PARA IMPLANTACIÓN DE CONTENEDORES EN EL DEPOSITO FISCAL</w:t>
      </w:r>
    </w:p>
    <w:p>
      <w:pPr>
        <w:pStyle w:val="Normal"/>
        <w:jc w:val="center"/>
        <w:rPr>
          <w:rFonts w:ascii="Arial" w:hAnsi="Arial" w:cs="Arial"/>
          <w:b/>
          <w:b/>
          <w:sz w:val="24"/>
          <w:szCs w:val="24"/>
          <w:lang w:val="es-ES" w:eastAsia="es-AR"/>
        </w:rPr>
      </w:pPr>
      <w:bookmarkStart w:id="2" w:name="__DdeLink__109_7128654311"/>
      <w:bookmarkStart w:id="3" w:name="__DdeLink__109_7128654311"/>
      <w:bookmarkEnd w:id="3"/>
      <w:r>
        <w:rPr>
          <w:rFonts w:cs="Arial" w:ascii="Arial" w:hAnsi="Arial"/>
          <w:b/>
          <w:sz w:val="24"/>
          <w:szCs w:val="24"/>
          <w:lang w:val="es-ES" w:eastAsia="es-AR"/>
        </w:rPr>
      </w:r>
    </w:p>
    <w:p>
      <w:pPr>
        <w:pStyle w:val="Normal"/>
        <w:jc w:val="center"/>
        <w:rPr>
          <w:rFonts w:ascii="Arial" w:hAnsi="Arial" w:cs="Arial"/>
          <w:b/>
          <w:b/>
          <w:sz w:val="24"/>
          <w:szCs w:val="24"/>
          <w:lang w:val="es-ES" w:eastAsia="es-AR"/>
        </w:rPr>
      </w:pPr>
      <w:r>
        <w:rPr>
          <w:rFonts w:cs="Arial" w:ascii="Arial" w:hAnsi="Arial"/>
          <w:b/>
          <w:sz w:val="24"/>
          <w:szCs w:val="24"/>
          <w:lang w:val="es-ES" w:eastAsia="es-AR"/>
        </w:rPr>
      </w:r>
    </w:p>
    <w:p>
      <w:pPr>
        <w:pStyle w:val="Normal"/>
        <w:tabs>
          <w:tab w:val="left" w:pos="0" w:leader="none"/>
          <w:tab w:val="left" w:pos="259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ind w:left="2592" w:right="0" w:hanging="0"/>
        <w:jc w:val="center"/>
        <w:rPr/>
      </w:pPr>
      <w:r>
        <w:rPr>
          <w:rFonts w:cs="Arial" w:ascii="Arial" w:hAnsi="Arial"/>
          <w:b/>
          <w:sz w:val="24"/>
          <w:lang w:val="es-ES" w:eastAsia="es-AR"/>
        </w:rPr>
        <w:t>PLIEGO DE BASES Y CONDICIONES GENERALES</w:t>
      </w:r>
    </w:p>
    <w:p>
      <w:pPr>
        <w:pStyle w:val="Normal"/>
        <w:tabs>
          <w:tab w:val="left" w:pos="0" w:leader="none"/>
          <w:tab w:val="left" w:pos="259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ind w:left="2592" w:right="0" w:hanging="0"/>
        <w:jc w:val="center"/>
        <w:rPr/>
      </w:pPr>
      <w:r>
        <w:rPr>
          <w:rFonts w:cs="Arial" w:ascii="Arial" w:hAnsi="Arial"/>
          <w:b/>
          <w:sz w:val="24"/>
          <w:lang w:val="es-ES" w:eastAsia="es-AR"/>
        </w:rPr>
        <w:t>Presupuesto Oficial $280.000,00.-</w:t>
      </w:r>
    </w:p>
    <w:p>
      <w:pPr>
        <w:pStyle w:val="Normal"/>
        <w:tabs>
          <w:tab w:val="left" w:pos="0" w:leader="none"/>
          <w:tab w:val="left" w:pos="259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2592"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w:hAnsi="Arial" w:cs="Arial"/>
          <w:b/>
          <w:b/>
          <w:sz w:val="24"/>
          <w:lang w:val="es-ES" w:eastAsia="es-AR"/>
        </w:rPr>
      </w:pPr>
      <w:r>
        <w:rPr>
          <w:rFonts w:cs="Arial" w:ascii="Arial" w:hAnsi="Arial"/>
          <w:b/>
          <w:sz w:val="24"/>
          <w:lang w:val="es-ES" w:eastAsia="es-AR"/>
        </w:rPr>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APERTURA: </w:t>
      </w:r>
      <w:r>
        <w:rPr>
          <w:rFonts w:cs="Arial" w:ascii="Arial" w:hAnsi="Arial"/>
          <w:sz w:val="24"/>
          <w:lang w:val="es-ES" w:eastAsia="es-AR"/>
        </w:rPr>
        <w:t xml:space="preserve">Día </w:t>
      </w:r>
      <w:r>
        <w:rPr>
          <w:rFonts w:cs="Arial" w:ascii="Arial" w:hAnsi="Arial"/>
          <w:sz w:val="24"/>
          <w:lang w:val="es-ES" w:eastAsia="es-AR"/>
        </w:rPr>
        <w:t xml:space="preserve">22 de noviembre del 2017 </w:t>
      </w:r>
      <w:r>
        <w:rPr>
          <w:rFonts w:cs="Arial" w:ascii="Arial" w:hAnsi="Arial"/>
          <w:sz w:val="24"/>
          <w:lang w:val="es-ES" w:eastAsia="es-AR"/>
        </w:rPr>
        <w:t>a las 1</w:t>
      </w:r>
      <w:r>
        <w:rPr>
          <w:rFonts w:cs="Arial" w:ascii="Arial" w:hAnsi="Arial"/>
          <w:sz w:val="24"/>
          <w:lang w:val="es-ES" w:eastAsia="es-AR"/>
        </w:rPr>
        <w:t>1</w:t>
      </w:r>
      <w:r>
        <w:rPr>
          <w:rFonts w:cs="Arial" w:ascii="Arial" w:hAnsi="Arial"/>
          <w:sz w:val="24"/>
          <w:lang w:val="es-ES" w:eastAsia="es-AR"/>
        </w:rPr>
        <w:t xml:space="preserve"> horas en  Sala de Reuniones del Aeropuerto Internacional de Rosario. - Jorge Newbery S/Nº 2000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2.</w:t>
        <w:tab/>
        <w:t>VALOR DEL PLIEGO: $500</w:t>
      </w:r>
      <w:r>
        <w:rPr>
          <w:rFonts w:cs="Arial" w:ascii="Arial" w:hAnsi="Arial"/>
          <w:sz w:val="24"/>
          <w:lang w:val="es-ES" w:eastAsia="es-AR"/>
        </w:rPr>
        <w:t>.- Estará a la venta hasta una (1) hora antes de la apertura, no aceptándose reclamo alguno fuera de dicho término.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numPr>
          <w:ilvl w:val="0"/>
          <w:numId w:val="1"/>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eastAsia="Arial" w:cs="Arial" w:ascii="Arial" w:hAnsi="Arial"/>
          <w:b/>
          <w:sz w:val="24"/>
          <w:lang w:val="es-ES" w:eastAsia="es-AR"/>
        </w:rPr>
        <w:t xml:space="preserve">  </w:t>
      </w:r>
      <w:r>
        <w:rPr>
          <w:rFonts w:cs="Arial" w:ascii="Arial" w:hAnsi="Arial"/>
          <w:b/>
          <w:sz w:val="24"/>
          <w:lang w:val="es-ES" w:eastAsia="es-AR"/>
        </w:rPr>
        <w:t xml:space="preserve">DESTINO: </w:t>
      </w:r>
      <w:r>
        <w:rPr>
          <w:rFonts w:cs="Arial" w:ascii="Arial" w:hAnsi="Arial"/>
          <w:sz w:val="24"/>
          <w:lang w:val="es-ES" w:eastAsia="es-AR"/>
        </w:rPr>
        <w:t>Aeropuerto Internacional de Rosario (Provincia de Santa Fe). Selección de Ofertas: Etapa Única.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4.    </w:t>
      </w:r>
      <w:r>
        <w:rPr>
          <w:rFonts w:cs="Arial" w:ascii="Arial" w:hAnsi="Arial"/>
          <w:b/>
          <w:bCs/>
          <w:sz w:val="24"/>
          <w:lang w:val="es-ES" w:eastAsia="es-AR"/>
        </w:rPr>
        <w:t>P</w:t>
      </w:r>
      <w:r>
        <w:rPr>
          <w:rFonts w:cs="Arial" w:ascii="Arial" w:hAnsi="Arial"/>
          <w:b/>
          <w:sz w:val="24"/>
          <w:lang w:val="es-ES" w:eastAsia="es-AR"/>
        </w:rPr>
        <w:t xml:space="preserve">LAZO DE INICIO DE LOS TRABAJOS: </w:t>
      </w:r>
      <w:r>
        <w:rPr>
          <w:rFonts w:cs="Arial" w:ascii="Arial" w:hAnsi="Arial"/>
          <w:sz w:val="24"/>
          <w:lang w:val="es-ES" w:eastAsia="es-AR"/>
        </w:rPr>
        <w:t>Los mismos deberán comenzar, una vez notificada la adjudicación efectuada por autoridad competente. La adjudicación se formaliza, con la notificación del Acto Administrativo respectivo.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eastAsia="Times New Roman" w:cs="Arial" w:ascii="Arial" w:hAnsi="Arial"/>
          <w:b/>
          <w:sz w:val="24"/>
          <w:szCs w:val="20"/>
          <w:lang w:val="es-ES" w:eastAsia="es-AR"/>
        </w:rPr>
        <w:t xml:space="preserve">5.  </w:t>
      </w:r>
      <w:r>
        <w:rPr>
          <w:rFonts w:eastAsia="Times New Roman" w:cs="Times New Roman" w:ascii="Arial" w:hAnsi="Arial"/>
          <w:b/>
          <w:sz w:val="24"/>
          <w:szCs w:val="20"/>
          <w:lang w:val="en-US" w:eastAsia="es-AR"/>
        </w:rPr>
        <w:t xml:space="preserve">PLAZO DE EJECUCIÓN DE OBRA: </w:t>
      </w:r>
      <w:r>
        <w:rPr>
          <w:rFonts w:eastAsia="Times New Roman" w:cs="Times New Roman" w:ascii="Arial" w:hAnsi="Arial"/>
          <w:sz w:val="24"/>
          <w:szCs w:val="20"/>
          <w:lang w:val="en-US" w:eastAsia="es-AR"/>
        </w:rPr>
        <w:t xml:space="preserve">El plazo de ejecución será de </w:t>
      </w:r>
      <w:r>
        <w:rPr>
          <w:rFonts w:eastAsia="Times New Roman" w:cs="Times New Roman" w:ascii="Arial" w:hAnsi="Arial"/>
          <w:sz w:val="24"/>
          <w:szCs w:val="20"/>
          <w:lang w:val="en-US" w:eastAsia="es-AR"/>
        </w:rPr>
        <w:t>30</w:t>
      </w:r>
      <w:r>
        <w:rPr>
          <w:rFonts w:eastAsia="Times New Roman" w:cs="Times New Roman" w:ascii="Arial" w:hAnsi="Arial"/>
          <w:sz w:val="24"/>
          <w:szCs w:val="20"/>
          <w:lang w:val="en-US" w:eastAsia="es-AR"/>
        </w:rPr>
        <w:t xml:space="preserve"> (</w:t>
      </w:r>
      <w:r>
        <w:rPr>
          <w:rFonts w:eastAsia="Times New Roman" w:cs="Times New Roman" w:ascii="Arial" w:hAnsi="Arial"/>
          <w:sz w:val="24"/>
          <w:szCs w:val="20"/>
          <w:lang w:val="en-US" w:eastAsia="es-AR"/>
        </w:rPr>
        <w:t>treinta</w:t>
      </w:r>
      <w:r>
        <w:rPr>
          <w:rFonts w:eastAsia="Times New Roman" w:cs="Times New Roman" w:ascii="Arial" w:hAnsi="Arial"/>
          <w:sz w:val="24"/>
          <w:szCs w:val="20"/>
          <w:lang w:val="en-US" w:eastAsia="es-AR"/>
        </w:rPr>
        <w:t>) días corridos, a partir de la fecha del Acta de Inicio de Obra.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eastAsia="Times New Roman" w:cs="Arial"/>
          <w:b/>
          <w:b/>
          <w:sz w:val="24"/>
          <w:szCs w:val="20"/>
          <w:lang w:val="es-ES" w:eastAsia="es-AR"/>
        </w:rPr>
      </w:pPr>
      <w:r>
        <w:rPr>
          <w:rFonts w:eastAsia="Times New Roman" w:cs="Arial" w:ascii="Arial" w:hAnsi="Arial"/>
          <w:b/>
          <w:sz w:val="24"/>
          <w:szCs w:val="20"/>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eastAsia="Times New Roman" w:cs="Arial" w:ascii="Arial" w:hAnsi="Arial"/>
          <w:b/>
          <w:sz w:val="24"/>
          <w:szCs w:val="20"/>
          <w:lang w:val="es-ES" w:eastAsia="es-AR"/>
        </w:rPr>
        <w:t>6.</w:t>
      </w:r>
      <w:r>
        <w:rPr>
          <w:rFonts w:eastAsia="Arial" w:cs="Arial" w:ascii="Arial" w:hAnsi="Arial"/>
          <w:b/>
          <w:sz w:val="24"/>
          <w:lang w:val="es-ES" w:eastAsia="es-AR"/>
        </w:rPr>
        <w:t xml:space="preserve"> </w:t>
      </w:r>
      <w:r>
        <w:rPr>
          <w:rFonts w:cs="Arial" w:ascii="Arial" w:hAnsi="Arial"/>
          <w:b/>
          <w:sz w:val="24"/>
          <w:lang w:val="es-ES" w:eastAsia="es-AR"/>
        </w:rPr>
        <w:t xml:space="preserve">MONEDA: </w:t>
      </w:r>
      <w:r>
        <w:rPr>
          <w:rFonts w:cs="Arial" w:ascii="Arial" w:hAnsi="Arial"/>
          <w:sz w:val="24"/>
          <w:lang w:val="es-ES" w:eastAsia="es-AR"/>
        </w:rPr>
        <w:t>Las ofertas deberán expresarse en moneda nacional (pesos Argentinos).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7. FORMA DE PAGO: </w:t>
      </w:r>
      <w:r>
        <w:rPr>
          <w:rFonts w:cs="Arial" w:ascii="Arial" w:hAnsi="Arial"/>
          <w:sz w:val="24"/>
          <w:szCs w:val="24"/>
          <w:lang w:val="es-AR" w:eastAsia="es-AR"/>
        </w:rPr>
        <w:t>Los trabajos adjudicados serán pagados contra presentación de factura, con el debido respaldo de la certificación de los servicios que en ellas se incluyen, por parte del Dpto. Técnico.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szCs w:val="24"/>
          <w:lang w:val="es-AR" w:eastAsia="es-AR"/>
        </w:rPr>
      </w:pPr>
      <w:r>
        <w:rPr>
          <w:rFonts w:cs="Arial" w:ascii="Arial" w:hAnsi="Arial"/>
          <w:sz w:val="24"/>
          <w:szCs w:val="24"/>
          <w:lang w:val="es-AR"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8. CALIDAD DE PROVEEDOR: </w:t>
      </w:r>
      <w:r>
        <w:rPr>
          <w:rFonts w:eastAsia="Calibri" w:cs="Arial" w:ascii="Arial" w:hAnsi="Arial"/>
          <w:sz w:val="24"/>
          <w:szCs w:val="22"/>
          <w:lang w:val="es-ES" w:eastAsia="en-US"/>
        </w:rPr>
        <w:t xml:space="preserve"> Para ser adjudicado, los oferentes deben encontrarse inscriptos en el Registro de Proveedores del Aeropuerto Internacional de Rosario - Provincia de Santa Fe,</w:t>
      </w:r>
      <w:r>
        <w:rPr>
          <w:rFonts w:eastAsia="Calibri" w:cs="Arial" w:ascii="Arial" w:hAnsi="Arial"/>
          <w:sz w:val="24"/>
          <w:szCs w:val="22"/>
          <w:lang w:val="es-ES" w:eastAsia="es-ES"/>
        </w:rPr>
        <w:t xml:space="preserve"> de acuerdo a las disposiciones de la Resolución N°179/16 - Registro de Proveedores para la Contratación de Bienes, Servicios y Obras Menores</w:t>
      </w:r>
      <w:r>
        <w:rPr>
          <w:rFonts w:eastAsia="Calibri" w:cs="Arial" w:ascii="Arial" w:hAnsi="Arial"/>
          <w:sz w:val="24"/>
          <w:szCs w:val="22"/>
          <w:lang w:val="es-ES" w:eastAsia="en-US"/>
        </w:rPr>
        <w:t>, en caso de no poseer dicha calidad, se otorgara un plazo de siete (7) días hábiles una vez solicitada la documentación por el Dpto. Contable para iniciar el trámite de Inscripción ante la Dirección del Aeropuerto Internacional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eastAsia="Calibri" w:cs="Arial"/>
          <w:sz w:val="24"/>
          <w:szCs w:val="22"/>
          <w:lang w:val="es-ES" w:eastAsia="en-US"/>
        </w:rPr>
      </w:pPr>
      <w:r>
        <w:rPr>
          <w:rFonts w:eastAsia="Calibri" w:cs="Arial" w:ascii="Arial" w:hAnsi="Arial"/>
          <w:sz w:val="24"/>
          <w:szCs w:val="22"/>
          <w:lang w:val="es-ES" w:eastAsia="en-U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eastAsia="Calibri" w:cs="Arial" w:ascii="Arial" w:hAnsi="Arial"/>
          <w:b/>
          <w:sz w:val="24"/>
          <w:szCs w:val="22"/>
          <w:lang w:val="es-ES" w:eastAsia="en-US"/>
        </w:rPr>
        <w:t xml:space="preserve">9. </w:t>
      </w:r>
      <w:r>
        <w:rPr>
          <w:rFonts w:cs="Arial" w:ascii="Arial" w:hAnsi="Arial"/>
          <w:b/>
          <w:sz w:val="24"/>
          <w:lang w:val="es-ES" w:eastAsia="es-AR"/>
        </w:rPr>
        <w:t xml:space="preserve">TIEMPO Y FORMA DE LAS OFERTAS: </w:t>
      </w:r>
      <w:r>
        <w:rPr>
          <w:rFonts w:cs="Arial" w:ascii="Arial" w:hAnsi="Arial"/>
          <w:sz w:val="24"/>
          <w:lang w:val="es-ES" w:eastAsia="es-AR"/>
        </w:rPr>
        <w:t>Las propuestas se presentarán hasta el día y hora indicada en la Carta de Invitación, en la mesa de entradas del A.I.R, en el horario de 7 a 13 hs. En caso que ese día resulte feriado o no laborable tal plazo se trasladará al primer día hábil siguiente a las 11 horas.  La presentación de la misma se hará en 1 (un) sobre cerrado dirigido al A.l.R., con la siguiente inscripción:</w:t>
      </w:r>
    </w:p>
    <w:p>
      <w:pPr>
        <w:pStyle w:val="Normal"/>
        <w:widowControl w:val="false"/>
        <w:numPr>
          <w:ilvl w:val="0"/>
          <w:numId w:val="0"/>
        </w:numPr>
        <w:spacing w:before="240" w:after="0"/>
        <w:ind w:left="0" w:hanging="0"/>
        <w:jc w:val="both"/>
        <w:rPr>
          <w:rFonts w:ascii="Arial" w:hAnsi="Arial"/>
        </w:rPr>
      </w:pPr>
      <w:r>
        <w:rPr>
          <w:rFonts w:ascii="Arial" w:hAnsi="Arial"/>
        </w:rPr>
      </w:r>
    </w:p>
    <w:p>
      <w:pPr>
        <w:pStyle w:val="Prrafodelista"/>
        <w:rPr>
          <w:rFonts w:ascii="Arial" w:hAnsi="Arial" w:cs="Arial"/>
          <w:sz w:val="24"/>
          <w:lang w:val="es-AR" w:eastAsia="es-AR"/>
        </w:rPr>
      </w:pPr>
      <w:r>
        <w:rPr>
          <w:rFonts w:cs="Arial" w:ascii="Arial" w:hAnsi="Arial"/>
          <w:sz w:val="24"/>
          <w:lang w:val="es-AR" w:eastAsia="es-AR"/>
        </w:rPr>
      </w:r>
    </w:p>
    <w:p>
      <w:pPr>
        <w:pStyle w:val="Prrafodelista"/>
        <w:rPr>
          <w:rFonts w:ascii="Arial" w:hAnsi="Arial" w:cs="Arial"/>
          <w:sz w:val="24"/>
          <w:lang w:val="es-AR" w:eastAsia="es-AR"/>
        </w:rPr>
      </w:pPr>
      <w:r>
        <w:rPr>
          <w:rFonts w:cs="Arial" w:ascii="Arial" w:hAnsi="Arial"/>
          <w:sz w:val="24"/>
          <w:lang w:val="es-AR" w:eastAsia="es-AR"/>
        </w:rPr>
      </w:r>
    </w:p>
    <w:p>
      <w:pPr>
        <w:pStyle w:val="Prrafodelista"/>
        <w:rPr>
          <w:rFonts w:ascii="Arial" w:hAnsi="Arial" w:cs="Arial"/>
          <w:sz w:val="24"/>
          <w:lang w:val="es-AR" w:eastAsia="es-AR"/>
        </w:rPr>
      </w:pPr>
      <w:r>
        <w:rPr>
          <w:rFonts w:cs="Arial" w:ascii="Arial" w:hAnsi="Arial"/>
          <w:sz w:val="24"/>
          <w:lang w:val="es-AR" w:eastAsia="es-AR"/>
        </w:rPr>
      </w:r>
    </w:p>
    <w:p>
      <w:pPr>
        <w:pStyle w:val="Prrafodelista"/>
        <w:rPr>
          <w:rFonts w:ascii="Arial" w:hAnsi="Arial" w:cs="Arial"/>
          <w:sz w:val="24"/>
          <w:lang w:val="es-AR" w:eastAsia="es-AR"/>
        </w:rPr>
      </w:pPr>
      <w:r>
        <w:rPr>
          <w:rFonts w:cs="Arial" w:ascii="Arial" w:hAnsi="Arial"/>
          <w:sz w:val="24"/>
          <w:lang w:val="es-AR" w:eastAsia="es-AR"/>
        </w:rPr>
      </w:r>
    </w:p>
    <w:p>
      <w:pPr>
        <w:pStyle w:val="Prrafodelista"/>
        <w:rPr>
          <w:rFonts w:ascii="Arial" w:hAnsi="Arial" w:cs="Arial"/>
          <w:sz w:val="24"/>
          <w:lang w:val="es-AR" w:eastAsia="es-AR"/>
        </w:rPr>
      </w:pPr>
      <w:r>
        <w:rPr>
          <w:rFonts w:cs="Arial" w:ascii="Arial" w:hAnsi="Arial"/>
          <w:sz w:val="24"/>
          <w:lang w:val="es-AR" w:eastAsia="es-AR"/>
        </w:rPr>
      </w:r>
    </w:p>
    <w:p>
      <w:pPr>
        <w:pStyle w:val="Normal"/>
        <w:widowControl w:val="false"/>
        <w:spacing w:before="240" w:after="0"/>
        <w:ind w:left="360" w:right="0" w:hanging="0"/>
        <w:jc w:val="both"/>
        <w:rPr>
          <w:rFonts w:ascii="Arial" w:hAnsi="Arial" w:cs="Arial"/>
          <w:sz w:val="24"/>
          <w:lang w:val="es-AR" w:eastAsia="es-AR"/>
        </w:rPr>
      </w:pPr>
      <w:r>
        <w:rPr>
          <w:rFonts w:cs="Arial" w:ascii="Arial" w:hAnsi="Arial"/>
          <w:sz w:val="24"/>
          <w:lang w:val="es-AR" w:eastAsia="es-AR"/>
        </w:rPr>
      </w:r>
    </w:p>
    <w:p>
      <w:pPr>
        <w:pStyle w:val="Normal"/>
        <w:rPr>
          <w:rFonts w:ascii="Arial" w:hAnsi="Arial" w:cs="Arial"/>
          <w:sz w:val="24"/>
          <w:lang w:val="es-ES" w:eastAsia="es-AR"/>
        </w:rPr>
      </w:pPr>
      <w:r>
        <w:rPr>
          <w:rFonts w:cs="Arial" w:ascii="Arial" w:hAnsi="Arial"/>
          <w:sz w:val="24"/>
          <w:lang w:val="es-ES" w:eastAsia="es-AR"/>
        </w:rPr>
      </w:r>
    </w:p>
    <w:p>
      <w:pPr>
        <w:pStyle w:val="Textoindependiente2"/>
        <w:spacing w:lineRule="auto" w:line="240"/>
        <w:rPr>
          <w:rFonts w:ascii="Arial" w:hAnsi="Arial" w:cs="Arial"/>
          <w:b/>
          <w:b/>
          <w:sz w:val="24"/>
          <w:lang w:val="es-ES" w:eastAsia="es-AR"/>
        </w:rPr>
      </w:pPr>
      <w:r>
        <w:rPr>
          <w:rFonts w:cs="Arial" w:ascii="Arial" w:hAnsi="Arial"/>
          <w:b/>
          <w:sz w:val="24"/>
          <w:lang w:val="es-ES" w:eastAsia="es-AR"/>
        </w:rPr>
      </w:r>
    </w:p>
    <w:p>
      <w:pPr>
        <w:pStyle w:val="Textoindependiente2"/>
        <w:spacing w:lineRule="auto" w:line="240"/>
        <w:rPr>
          <w:rFonts w:ascii="Arial" w:hAnsi="Arial" w:cs="Arial"/>
          <w:b/>
          <w:b/>
          <w:lang w:val="es-ES" w:eastAsia="es-AR"/>
        </w:rPr>
      </w:pPr>
      <w:r>
        <w:rPr>
          <w:rFonts w:cs="Arial" w:ascii="Arial" w:hAnsi="Arial"/>
          <w:b/>
          <w:lang w:val="es-ES" w:eastAsia="es-AR"/>
        </w:rPr>
      </w:r>
    </w:p>
    <w:p>
      <w:pPr>
        <w:pStyle w:val="Textoindependiente2"/>
        <w:spacing w:lineRule="auto" w:line="240"/>
        <w:rPr>
          <w:rFonts w:ascii="Arial" w:hAnsi="Arial" w:cs="Arial"/>
          <w:b/>
          <w:b/>
        </w:rPr>
      </w:pPr>
      <w:r>
        <w:rPr>
          <w:rFonts w:cs="Arial" w:ascii="Arial" w:hAnsi="Arial"/>
          <w:b/>
        </w:rPr>
      </w:r>
    </w:p>
    <w:p>
      <w:pPr>
        <w:pStyle w:val="Normal"/>
        <w:jc w:val="center"/>
        <w:rPr/>
      </w:pPr>
      <w:r>
        <w:rPr>
          <w:rFonts w:cs="Arial" w:ascii="Arial" w:hAnsi="Arial"/>
          <w:b/>
          <w:color w:val="00000A"/>
          <w:sz w:val="24"/>
          <w:szCs w:val="24"/>
          <w:lang w:val="es-ES" w:eastAsia="es-AR"/>
        </w:rPr>
        <w:t>CONCURSO DE PRECIOS Nº</w:t>
      </w:r>
      <w:r>
        <w:rPr>
          <w:rFonts w:cs="Arial" w:ascii="Arial" w:hAnsi="Arial"/>
          <w:b/>
          <w:color w:val="00000A"/>
          <w:sz w:val="24"/>
          <w:szCs w:val="24"/>
          <w:lang w:val="es-ES" w:eastAsia="es-AR"/>
        </w:rPr>
        <w:t>2</w:t>
      </w:r>
      <w:r>
        <w:rPr>
          <w:rFonts w:cs="Arial" w:ascii="Arial" w:hAnsi="Arial"/>
          <w:b/>
          <w:color w:val="00000A"/>
          <w:sz w:val="24"/>
          <w:szCs w:val="24"/>
          <w:lang w:val="es-ES" w:eastAsia="es-AR"/>
        </w:rPr>
        <w:t>7/2017</w:t>
      </w:r>
    </w:p>
    <w:p>
      <w:pPr>
        <w:pStyle w:val="Normal"/>
        <w:jc w:val="center"/>
        <w:rPr>
          <w:rFonts w:ascii="Arial" w:hAnsi="Arial" w:cs="Arial"/>
          <w:color w:val="00000A"/>
          <w:sz w:val="24"/>
          <w:szCs w:val="24"/>
          <w:lang w:val="es-ES" w:eastAsia="es-AR"/>
        </w:rPr>
      </w:pPr>
      <w:r>
        <w:rPr>
          <w:rFonts w:cs="Arial" w:ascii="Arial" w:hAnsi="Arial"/>
          <w:color w:val="00000A"/>
          <w:sz w:val="24"/>
          <w:szCs w:val="24"/>
          <w:lang w:val="es-ES" w:eastAsia="es-AR"/>
        </w:rPr>
      </w:r>
    </w:p>
    <w:p>
      <w:pPr>
        <w:pStyle w:val="Normal"/>
        <w:jc w:val="center"/>
        <w:rPr/>
      </w:pPr>
      <w:r>
        <w:rPr>
          <w:rFonts w:cs="Arial" w:ascii="Arial" w:hAnsi="Arial"/>
          <w:color w:val="00000A"/>
          <w:sz w:val="24"/>
          <w:szCs w:val="24"/>
          <w:lang w:val="es-ES" w:eastAsia="es-AR"/>
        </w:rPr>
        <w:t>Expediente Nº01806-000</w:t>
      </w:r>
      <w:r>
        <w:rPr>
          <w:rFonts w:cs="Arial" w:ascii="Arial" w:hAnsi="Arial"/>
          <w:color w:val="00000A"/>
          <w:sz w:val="24"/>
          <w:szCs w:val="24"/>
          <w:lang w:val="es-ES" w:eastAsia="es-AR"/>
        </w:rPr>
        <w:t>1157-3</w:t>
      </w:r>
    </w:p>
    <w:p>
      <w:pPr>
        <w:pStyle w:val="Normal"/>
        <w:jc w:val="center"/>
        <w:rPr>
          <w:rFonts w:ascii="Arial" w:hAnsi="Arial" w:cs="Arial"/>
          <w:color w:val="00000A"/>
          <w:sz w:val="24"/>
          <w:szCs w:val="24"/>
          <w:lang w:val="es-ES" w:eastAsia="es-AR"/>
        </w:rPr>
      </w:pPr>
      <w:r>
        <w:rPr>
          <w:rFonts w:cs="Arial" w:ascii="Arial" w:hAnsi="Arial"/>
          <w:color w:val="00000A"/>
          <w:sz w:val="24"/>
          <w:szCs w:val="24"/>
          <w:lang w:val="es-ES" w:eastAsia="es-AR"/>
        </w:rPr>
      </w:r>
    </w:p>
    <w:p>
      <w:pPr>
        <w:pStyle w:val="Normal"/>
        <w:jc w:val="center"/>
        <w:rPr/>
      </w:pPr>
      <w:r>
        <w:rPr>
          <w:rFonts w:eastAsia="Arial" w:cs="Arial" w:ascii="Arial" w:hAnsi="Arial"/>
          <w:b/>
          <w:color w:val="00000A"/>
          <w:sz w:val="24"/>
          <w:lang w:val="es-ES" w:eastAsia="es-AR"/>
        </w:rPr>
        <w:t xml:space="preserve">OBJETO: </w:t>
      </w:r>
      <w:r>
        <w:rPr>
          <w:rFonts w:eastAsia="Arial" w:cs="Arial" w:ascii="Arial" w:hAnsi="Arial"/>
          <w:b/>
          <w:color w:val="00000A"/>
          <w:sz w:val="24"/>
          <w:szCs w:val="24"/>
          <w:lang w:val="es-ES" w:eastAsia="es-AR"/>
        </w:rPr>
        <w:t>EJECUCIÓN DE LA ESTRUCTURA DE FUNDACIÓN PARA IMPLANTACIÓN DE CONTENEDORES EN EL DEPOSITO FISCAL</w:t>
      </w:r>
    </w:p>
    <w:p>
      <w:pPr>
        <w:pStyle w:val="Normal"/>
        <w:spacing w:lineRule="auto" w:line="240"/>
        <w:jc w:val="both"/>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cs="Arial"/>
          <w:b/>
          <w:b/>
        </w:rPr>
      </w:pPr>
      <w:r>
        <w:rPr>
          <w:rFonts w:cs="Arial" w:ascii="Arial" w:hAnsi="Arial"/>
          <w:b/>
        </w:rPr>
      </w:r>
    </w:p>
    <w:p>
      <w:pPr>
        <w:pStyle w:val="Textoindependiente2"/>
        <w:spacing w:lineRule="auto" w:line="240"/>
        <w:rPr>
          <w:rFonts w:ascii="Arial" w:hAnsi="Arial"/>
        </w:rPr>
      </w:pPr>
      <w:r>
        <w:rPr>
          <w:rFonts w:cs="Arial" w:ascii="Arial" w:hAnsi="Arial"/>
          <w:b/>
        </w:rPr>
        <w:t>Dicho sobre contendrá:</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xml:space="preserve">Toda documentación presentada deberá ser por duplicado, incluidos los respectivos Pliegos firmados en todas sus fojas en original y copia por el oferente o su representante autorizado, con aclaración de firma pertinente.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1- Deberán figurar los datos de identificación del proponente: Nombre ó razón social, domicilio, teléfono.</w:t>
      </w:r>
      <w:r>
        <w:rPr>
          <w:rFonts w:ascii="Arial" w:hAnsi="Arial"/>
        </w:rPr>
        <w:t xml:space="preserve"> </w:t>
      </w:r>
      <w:r>
        <w:rPr>
          <w:rFonts w:cs="Arial" w:ascii="Arial" w:hAnsi="Arial"/>
          <w:sz w:val="24"/>
          <w:lang w:val="es-ES" w:eastAsia="es-AR"/>
        </w:rPr>
        <w:t xml:space="preserve"> CONSTITUCIÓN DOMICILIO LEGAL: el oferente deberá constituir domicilio especial en la ciudad de Rosario, pudiendo el mismo ser coincidente con su domicilio real o el del asiento principal de sus actividades.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2 - Reposición de $80.- únicamente en papel sellado ó estampillado del Banco la Provincia de Santa Fe o Liquidación Web de Impuestos de sellos circunstanciales y Tasa retributiva de Servicios de API con su correspondiente constancia de pago (código de operación en nomenclador: 91297).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76" w:before="0" w:after="200"/>
        <w:jc w:val="both"/>
        <w:rPr/>
      </w:pPr>
      <w:r>
        <w:rPr>
          <w:rFonts w:cs="Arial" w:ascii="Arial" w:hAnsi="Arial"/>
          <w:sz w:val="24"/>
          <w:lang w:val="es-ES" w:eastAsia="es-AR"/>
        </w:rPr>
        <w:t>3 –  Garantía de  Mantenimiento de Oferta por el equivalente al 1% del total de la oferta, en moneda nacional mediante algunas de las garantías previstas en el P.B.y C. Decreto</w:t>
      </w:r>
      <w:r>
        <w:rPr>
          <w:rFonts w:cs="Arial" w:ascii="Arial" w:hAnsi="Arial"/>
          <w:sz w:val="26"/>
          <w:lang w:val="es-ES" w:eastAsia="es-AR"/>
        </w:rPr>
        <w:t xml:space="preserve"> </w:t>
      </w:r>
      <w:r>
        <w:rPr>
          <w:rFonts w:cs="Arial" w:ascii="Arial" w:hAnsi="Arial"/>
          <w:sz w:val="24"/>
          <w:szCs w:val="24"/>
          <w:lang w:val="es-ES" w:eastAsia="es-AR"/>
        </w:rPr>
        <w:t xml:space="preserve">Nº1104/16 “Reglamentación del Subsistema de Administración de Bienes y Servicios de la Ley N° 12510”, Art. 134, </w:t>
      </w:r>
      <w:r>
        <w:rPr>
          <w:rFonts w:cs="Arial" w:ascii="Arial" w:hAnsi="Arial"/>
          <w:sz w:val="24"/>
          <w:lang w:val="es-ES" w:eastAsia="es-AR"/>
        </w:rPr>
        <w:t>en efectivo mediante depósito en garantía en cta.cte. 6275/05 del Nuevo Banco de Santa Fe del Aeropuerto Internacional de Rosario; mediante Transferencia bancaria (previamente deberá coordinar con Departamento Contable 0341-4516300 Int.1169); Seguro de Caución mediante Póliza de Seguros; No admitiéndose Pagaré, ni Oferta alternativa.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4 - Expresa renuncia al fuero Federal, y declaración que para cualquier cuestión judicial que se suscite se acepta la competencia y jurisdicción de los Tribunales competentes de la ciudad de Rosario;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5 - Copia de la carta de invitación y nota de Declaración Jurada y conformidad del pliego, así como constancia de compra del mismo, según se dispone al punto 2 del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 xml:space="preserve">6 - Oferta económica cuyos importes deberán incluir I.V.A. </w:t>
      </w:r>
      <w:r>
        <w:rPr>
          <w:rFonts w:eastAsia="Times New Roman" w:cs="Times New Roman" w:ascii="Arial" w:hAnsi="Arial"/>
          <w:sz w:val="24"/>
          <w:szCs w:val="20"/>
          <w:lang w:val="en-US" w:eastAsia="es-AR"/>
        </w:rPr>
        <w:t>y confeccionarse  según los criterios establecidos en el Art.9 del Pliego Complementario de Bases y Condiciones</w:t>
      </w:r>
      <w:r>
        <w:rPr>
          <w:rFonts w:eastAsia="Times New Roman" w:cs="Times New Roman" w:ascii="Arial" w:hAnsi="Arial"/>
          <w:color w:val="000000"/>
          <w:sz w:val="24"/>
          <w:szCs w:val="20"/>
          <w:lang w:val="en-US" w:eastAsia="es-AR"/>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Textoindependiente2"/>
        <w:spacing w:lineRule="auto" w:line="240"/>
        <w:rPr>
          <w:rFonts w:ascii="Arial" w:hAnsi="Arial"/>
        </w:rPr>
      </w:pPr>
      <w:r>
        <w:rPr>
          <w:rFonts w:cs="Arial" w:ascii="Arial" w:hAnsi="Arial"/>
        </w:rPr>
        <w:t>7 - Manifestación de mantenimiento de oferta por 30 días.</w:t>
      </w:r>
    </w:p>
    <w:p>
      <w:pPr>
        <w:pStyle w:val="Textoindependiente2"/>
        <w:spacing w:lineRule="auto" w:line="240"/>
        <w:rPr>
          <w:rFonts w:ascii="Arial" w:hAnsi="Arial" w:cs="Arial"/>
        </w:rPr>
      </w:pPr>
      <w:r>
        <w:rPr>
          <w:rFonts w:cs="Arial" w:ascii="Arial" w:hAnsi="Arial"/>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8- Constancias de Inscripción y antecedentes del oferente en la prestación de servicios similares con firma y sello del titular o representante.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ab/>
        <w:t xml:space="preserve">     -AFIP – Constancia de Inscripción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-API- Constancia de Inscripción en Ingresos Brutos o Convenio Multilateral.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 xml:space="preserve">-API- Form 1276- Declaración Jurada y Alícuotas del Impuesto a los Ingresos Brutos de la jurisdicción que corresponde y / o convenio multilateral.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-API- Constancia de Cumplimiento Fiscal.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pPr>
      <w:r>
        <w:rPr>
          <w:rFonts w:cs="Arial" w:ascii="Arial" w:hAnsi="Arial"/>
          <w:sz w:val="24"/>
          <w:lang w:val="es-ES" w:eastAsia="es-AR"/>
        </w:rPr>
        <w:t xml:space="preserve">-Antecedentes del oferente en la prestación de servicios similares.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rPr>
      </w:pPr>
      <w:r>
        <w:rPr>
          <w:rFonts w:cs="Arial" w:ascii="Arial" w:hAnsi="Arial"/>
          <w:sz w:val="24"/>
          <w:lang w:val="es-ES" w:eastAsia="es-AR"/>
        </w:rPr>
        <w:t>La constatación del Aeropuerto, a partir de esta información fiscal, que el oferente ha incurrido en incumplimientos graves, será causal de rechazo de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0"/>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szCs w:val="24"/>
          <w:lang w:val="es-ES" w:eastAsia="es-AR"/>
        </w:rPr>
        <w:t>9 -</w:t>
      </w:r>
      <w:r>
        <w:rPr>
          <w:rFonts w:cs="Arial" w:ascii="Arial" w:hAnsi="Arial"/>
          <w:sz w:val="24"/>
          <w:lang w:val="es-ES" w:eastAsia="es-AR"/>
        </w:rPr>
        <w:t xml:space="preserve"> Certificado Negativo de deudores alimentarios morosos (Ley Provincial 11.945)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eastAsia="Arial" w:cs="Arial" w:ascii="Arial" w:hAnsi="Arial"/>
          <w:bCs/>
          <w:sz w:val="24"/>
          <w:szCs w:val="24"/>
        </w:rPr>
        <w:t>“</w:t>
      </w:r>
      <w:r>
        <w:rPr>
          <w:rFonts w:cs="Arial" w:ascii="Arial" w:hAnsi="Arial"/>
          <w:bCs/>
          <w:sz w:val="24"/>
          <w:szCs w:val="24"/>
        </w:rPr>
        <w:t>Registro de Deudores Alimentarios Morosos”: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bCs/>
          <w:i/>
          <w:sz w:val="24"/>
        </w:rPr>
        <w:t>...ART. Nº 8: los proveedores y contratistas de todos los organismos de la Provincia deben adjuntar a sus antecedentes una certificación anual en la que conste que no se encuentran incluidos en el Registro. En el caso de personas jurídicas, tal requisito debe ser cumplimentado sólo por los miembros directivos.”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10- Detalle de antecedentes y equipos en obras similares en el rubro, según el Punto  7 del P.C.B y 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11- Constancia de Visita de obra, de acuerdo a lo estipulado en el Art. 8 del P.C.B y 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cs="Arial"/>
          <w:bCs/>
          <w:i/>
          <w:i/>
          <w:sz w:val="24"/>
        </w:rPr>
      </w:pPr>
      <w:r>
        <w:rPr>
          <w:rFonts w:eastAsia="Times New Roman" w:cs="Times New Roman" w:ascii="Arial" w:hAnsi="Arial"/>
          <w:bCs/>
          <w:i/>
          <w:sz w:val="24"/>
          <w:szCs w:val="20"/>
          <w:lang w:val="en-US" w:eastAsia="es-AR"/>
        </w:rPr>
        <w:t xml:space="preserve"> </w:t>
      </w:r>
      <w:r>
        <w:rPr>
          <w:rFonts w:eastAsia="Times New Roman" w:cs="Times New Roman" w:ascii="Arial" w:hAnsi="Arial"/>
          <w:bCs/>
          <w:i/>
          <w:sz w:val="24"/>
          <w:szCs w:val="20"/>
          <w:lang w:val="en-US" w:eastAsia="es-AR"/>
        </w:rPr>
        <w:t>La presentación de la oferta sin observaciones a este pliego, significará la aceptación de todas las condiciones. La oferta a presentar deberá considerar la totalidad de los impuestos vigentes y resultar libre de todo gasto para el A.l.R.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eastAsia="Times New Roman" w:cs="Times New Roman"/>
          <w:szCs w:val="20"/>
          <w:lang w:val="en-US" w:eastAsia="es-AR"/>
        </w:rPr>
      </w:pPr>
      <w:r>
        <w:rPr>
          <w:rFonts w:eastAsia="Times New Roman" w:cs="Times New Roman"/>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b/>
          <w:sz w:val="24"/>
          <w:lang w:val="es-ES" w:eastAsia="es-AR"/>
        </w:rPr>
        <w:t xml:space="preserve">10.    OMISIONES NO SUBSANABLES: </w:t>
      </w:r>
      <w:r>
        <w:rPr>
          <w:rFonts w:cs="Arial" w:ascii="Arial" w:hAnsi="Arial"/>
          <w:sz w:val="24"/>
          <w:lang w:val="es-ES" w:eastAsia="es-AR"/>
        </w:rPr>
        <w:t>El sobre debe contener como mínimo en su interior para no desestimar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Datos completos de la empresa, (Nombre ó razón social, domicilio, teléfono) (inciso 9.1);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Garantía de mantenimiento de oferta  (inciso 9.3);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Oferta económica  (inciso 9.6);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 xml:space="preserve">Si al día de la fecha de apertura, el oferente no hubiera cumplido con la documentación restante, exigida en los incisos (9.2), (9.4), (9.5), (9.7), (9.8), (9.9), </w:t>
      </w:r>
      <w:r>
        <w:rPr>
          <w:rFonts w:cs="Arial" w:ascii="Arial" w:hAnsi="Arial"/>
          <w:sz w:val="24"/>
          <w:lang w:val="es-ES" w:eastAsia="es-AR"/>
        </w:rPr>
        <w:t xml:space="preserve">y (9.10) </w:t>
      </w:r>
      <w:r>
        <w:rPr>
          <w:rFonts w:cs="Arial" w:ascii="Arial" w:hAnsi="Arial"/>
          <w:sz w:val="24"/>
          <w:lang w:val="es-ES" w:eastAsia="es-AR"/>
        </w:rPr>
        <w:t xml:space="preserve">del punto 9 del Pliego de Bases y Condiciones Generales, </w:t>
      </w:r>
      <w:r>
        <w:rPr>
          <w:rFonts w:cs="Arial" w:ascii="Arial" w:hAnsi="Arial"/>
          <w:sz w:val="24"/>
          <w:szCs w:val="24"/>
        </w:rPr>
        <w:t>se le otorgará un plazo de 2 (dos) días hábiles desde el momento que el proponente sea notificado</w:t>
      </w:r>
      <w:r>
        <w:rPr>
          <w:rFonts w:cs="Arial" w:ascii="Arial" w:hAnsi="Arial"/>
          <w:sz w:val="24"/>
          <w:lang w:val="es-ES" w:eastAsia="es-AR"/>
        </w:rPr>
        <w:t>, para cumplimentar la misma, caso contrario se desestimará la oferta.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10.</w:t>
        <w:tab/>
        <w:t>IMPUGNACIONES:</w:t>
      </w:r>
      <w:r>
        <w:rPr>
          <w:rFonts w:eastAsia="Times New Roman" w:cs="Times New Roman" w:ascii="Arial" w:hAnsi="Arial"/>
          <w:sz w:val="24"/>
          <w:szCs w:val="20"/>
          <w:lang w:val="en-US" w:eastAsia="es-AR"/>
        </w:rPr>
        <w:t xml:space="preserve"> Las impugnaciones que los oferentes deseen efectuar respecto de las presentaciones deberán realizarse por escrito, dentro de las 48 horas hábiles contados a partir del acto de apertura de sobres. Para tal fin, los oferentes podrán tener acceso en presencia de funcionarios del Aeropuerto- a las presentaciones que realizaron los demás concursantes. Las impugnaciones deberán ser garantizadas con depósito en efectivo de $3.000.- (pesos tres mil); Tal garantía se perderá si se constatase- a exclusivo juicio del Aeropuerto- que la impugnación tuvo por finalidad entorpecer el proceso licitatorio. O se apoyare en datos falsos. Se resolverá sobre la pertinencia/ procedencia de las mismas, sin sustanciación en el Acto Administrativo de Adjudicación.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 xml:space="preserve">12.  </w:t>
      </w:r>
      <w:r>
        <w:rPr>
          <w:rFonts w:eastAsia="Times New Roman" w:cs="Arial" w:ascii="Arial" w:hAnsi="Arial"/>
          <w:b/>
          <w:sz w:val="24"/>
          <w:szCs w:val="20"/>
          <w:lang w:val="es-ES" w:eastAsia="es-AR"/>
        </w:rPr>
        <w:t xml:space="preserve">GARANTÍA DE FIEL CUMPLIMIENTO: </w:t>
      </w:r>
      <w:r>
        <w:rPr>
          <w:rFonts w:eastAsia="Times New Roman" w:cs="Arial" w:ascii="Arial" w:hAnsi="Arial"/>
          <w:b w:val="false"/>
          <w:bCs w:val="false"/>
          <w:sz w:val="24"/>
          <w:szCs w:val="20"/>
          <w:lang w:val="es-ES" w:eastAsia="es-AR"/>
        </w:rPr>
        <w:t>Se constituirá por el SIETE POR CIENTO (7%) del valor total de la adjudicación, dentro de los (10) días de la notificación de la misma, en moneda nacional, con vigencia hasta la finalización del servicio. La garantía de adjudicación podrá constituirse, a opción del adjudicatario en alguna de las formas previstas en el Decreto 1104/16, (en efectivo mediante depósito en garantía en Cta.Cte. 6275/05 del Nuevo Banco de Santa Fe del Aeropuerto Internacional de Rosario - CBU 3300002010020006275050 (</w:t>
      </w:r>
      <w:r>
        <w:rPr>
          <w:rFonts w:eastAsia="Times New Roman" w:cs="Times New Roman" w:ascii="Arial" w:hAnsi="Arial"/>
          <w:b w:val="false"/>
          <w:bCs w:val="false"/>
          <w:sz w:val="24"/>
          <w:szCs w:val="20"/>
          <w:lang w:val="en-US" w:eastAsia="es-AR"/>
        </w:rPr>
        <w:t>previamente deberá coordinar con Departamento Contable 0341</w:t>
      </w:r>
      <w:r>
        <w:rPr>
          <w:rFonts w:eastAsia="Times New Roman" w:cs="Times New Roman" w:ascii="Arial" w:hAnsi="Arial"/>
          <w:b/>
          <w:sz w:val="24"/>
          <w:szCs w:val="20"/>
          <w:lang w:val="en-US" w:eastAsia="es-AR"/>
        </w:rPr>
        <w:t>-</w:t>
      </w:r>
      <w:r>
        <w:rPr>
          <w:rFonts w:eastAsia="Times New Roman" w:cs="Times New Roman" w:ascii="Arial" w:hAnsi="Arial"/>
          <w:b w:val="false"/>
          <w:bCs w:val="false"/>
          <w:sz w:val="24"/>
          <w:szCs w:val="20"/>
          <w:lang w:val="en-US" w:eastAsia="es-AR"/>
        </w:rPr>
        <w:t>4516300 Int.1169</w:t>
      </w:r>
      <w:r>
        <w:rPr>
          <w:rFonts w:eastAsia="Times New Roman" w:cs="Arial" w:ascii="Arial" w:hAnsi="Arial"/>
          <w:b w:val="false"/>
          <w:bCs w:val="false"/>
          <w:sz w:val="24"/>
          <w:szCs w:val="20"/>
          <w:lang w:val="es-ES" w:eastAsia="es-AR"/>
        </w:rPr>
        <w:t>); Seguro de Caución mediante Póliza de Seguros.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val="false"/>
          <w:bCs w:val="false"/>
          <w:sz w:val="24"/>
          <w:szCs w:val="20"/>
          <w:lang w:val="en-US" w:eastAsia="es-AR"/>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eastAsia="Times New Roman" w:cs="Times New Roman" w:ascii="Arial" w:hAnsi="Arial"/>
          <w:b/>
          <w:sz w:val="24"/>
          <w:szCs w:val="20"/>
          <w:lang w:val="en-US" w:eastAsia="es-AR"/>
        </w:rPr>
        <w:t xml:space="preserve">13. </w:t>
        <w:tab/>
        <w:t xml:space="preserve">NORMAS DE FACTURACIÓN: </w:t>
      </w:r>
      <w:r>
        <w:rPr>
          <w:rFonts w:eastAsia="Times New Roman" w:cs="Times New Roman" w:ascii="Arial" w:hAnsi="Arial"/>
          <w:sz w:val="24"/>
          <w:szCs w:val="20"/>
          <w:lang w:val="en-US" w:eastAsia="es-AR"/>
        </w:rPr>
        <w:t>A todos los efectos previstos por la AFIP y la A.P.I., en normas vigentes, el adjudicatario consignará en todas las facturas que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nombre y apellido o razón social.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domicilio.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lugar y fecha de emisión.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numeración consecutiva de 12 dígitos.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número de inscripción de los impuestos sobre los Ingresos Brutos o condición de no contribuyente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-Leyenda indicando, condición de Emisor ante el 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 xml:space="preserve">-En los comprobantes deberá indicarse la sigla correspondiente a la modalidad de generación de comprobantes electrónicos, C.A.E. o C.A.E.A. según corresponda.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b/>
          <w:b/>
          <w:sz w:val="24"/>
          <w:szCs w:val="20"/>
          <w:lang w:val="en-US" w:eastAsia="es-AR"/>
        </w:rPr>
      </w:pPr>
      <w:r>
        <w:rPr>
          <w:rFonts w:eastAsia="Times New Roman" w:cs="Times New Roman" w:ascii="Arial" w:hAnsi="Arial"/>
          <w:b/>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14. SISTEMA DE CONTRATACIÓN- AJUSTE  ALZADO:</w:t>
      </w:r>
      <w:r>
        <w:rPr>
          <w:rFonts w:eastAsia="Times New Roman" w:cs="Times New Roman" w:ascii="Arial" w:hAnsi="Arial"/>
          <w:sz w:val="24"/>
          <w:szCs w:val="20"/>
          <w:lang w:val="en-US" w:eastAsia="es-AR"/>
        </w:rPr>
        <w:t xml:space="preserve"> Los precios del contrato, podrán ser redeterminados conforme a la Ley Provincial Nº 12.046, y sus normas reglamentarias vigentes al momento del llamado a licitación.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La licitación, contratación y ejecución de los trabajos se ajustarán en un todo de acuerdo a la Ley de Obras Publicas de la Provincia de Santa Fe Nº5188 y su Decreto Reglamentario.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b/>
          <w:b/>
          <w:sz w:val="24"/>
          <w:szCs w:val="20"/>
          <w:lang w:val="en-US" w:eastAsia="es-AR"/>
        </w:rPr>
      </w:pPr>
      <w:r>
        <w:rPr>
          <w:rFonts w:eastAsia="Times New Roman" w:cs="Times New Roman" w:ascii="Arial" w:hAnsi="Arial"/>
          <w:b/>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 xml:space="preserve">16.   PLAZO DE CONSERVACIÓN Y GARANTÍA: </w:t>
      </w:r>
      <w:r>
        <w:rPr>
          <w:rFonts w:eastAsia="Times New Roman" w:cs="Times New Roman" w:ascii="Arial" w:hAnsi="Arial"/>
          <w:sz w:val="24"/>
          <w:szCs w:val="20"/>
          <w:lang w:val="en-US" w:eastAsia="es-AR"/>
        </w:rPr>
        <w:t>Se establece en 6 (seis) meses a partir de la fecha del Acta de Recepción Provisoria de los respectivos trabajos que cumplan con los requisitos consignados en el Artículo Nº</w:t>
      </w:r>
      <w:r>
        <w:rPr>
          <w:rFonts w:eastAsia="Times New Roman" w:cs="Times New Roman" w:ascii="Arial" w:hAnsi="Arial"/>
          <w:color w:val="000000"/>
          <w:sz w:val="24"/>
          <w:szCs w:val="20"/>
          <w:lang w:val="en-US" w:eastAsia="es-AR"/>
        </w:rPr>
        <w:t>75</w:t>
      </w:r>
      <w:r>
        <w:rPr>
          <w:rFonts w:eastAsia="Times New Roman" w:cs="Times New Roman" w:ascii="Arial" w:hAnsi="Arial"/>
          <w:sz w:val="24"/>
          <w:szCs w:val="20"/>
          <w:lang w:val="en-US" w:eastAsia="es-AR"/>
        </w:rPr>
        <w:t xml:space="preserve"> del  PUByC. Durante dicho lapso, el Oferente tendrá a su exclusivo cargo los trabajos de conservación y mantenimiento de las obras y equipos instalados.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La Recepción Provisoria deberá ser debidamente firmada por los profesionales del Ente  designados a tal efecto.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 xml:space="preserve">17.  FONDO DE REPARO: </w:t>
      </w:r>
      <w:r>
        <w:rPr>
          <w:rFonts w:eastAsia="Times New Roman" w:cs="Times New Roman" w:ascii="Arial" w:hAnsi="Arial"/>
          <w:sz w:val="24"/>
          <w:szCs w:val="20"/>
          <w:lang w:val="en-US" w:eastAsia="es-AR"/>
        </w:rPr>
        <w:t xml:space="preserve">Se establece en </w:t>
      </w:r>
      <w:r>
        <w:rPr>
          <w:rFonts w:eastAsia="Times New Roman" w:cs="Times New Roman" w:ascii="Arial" w:hAnsi="Arial"/>
          <w:b/>
          <w:sz w:val="24"/>
          <w:szCs w:val="20"/>
          <w:lang w:val="en-US" w:eastAsia="es-AR"/>
        </w:rPr>
        <w:t>5 %</w:t>
      </w:r>
      <w:r>
        <w:rPr>
          <w:rFonts w:eastAsia="Times New Roman" w:cs="Times New Roman" w:ascii="Arial" w:hAnsi="Arial"/>
          <w:sz w:val="24"/>
          <w:szCs w:val="20"/>
          <w:lang w:val="en-US" w:eastAsia="es-AR"/>
        </w:rPr>
        <w:t xml:space="preserve"> (cinco por ciento) la retención a deducir de cada Certificado de Obra en concepto de garantía de la correcta ejecución de los trabajos hasta la fecha de Recepción Definitiva de los mismos.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cs="Arial"/>
          <w:sz w:val="24"/>
          <w:lang w:val="es-ES" w:eastAsia="es-AR"/>
        </w:rPr>
      </w:pPr>
      <w:r>
        <w:rPr>
          <w:rFonts w:eastAsia="Times New Roman" w:cs="Times New Roman" w:ascii="Arial" w:hAnsi="Arial"/>
          <w:sz w:val="24"/>
          <w:szCs w:val="20"/>
          <w:lang w:val="en-US" w:eastAsia="es-AR"/>
        </w:rPr>
        <w:t xml:space="preserve">Podrá sustituirse el monto resultante de la retención, a la solicitud del Oferente, mediante Aval Bancario o Seguro de Caución a favor del -Aeropuerto Internacional de Rosario- sobre Empresas o Bancos con domicilio legal o corresponsalía en la ciudad y expresar el sometimiento expreso a los Tribunales Ordinarios de esta ciudad, todo a satisfacción del Contratante.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b/>
          <w:sz w:val="24"/>
          <w:lang w:val="es-ES" w:eastAsia="es-AR"/>
        </w:rPr>
        <w:t xml:space="preserve">11. </w:t>
        <w:tab/>
        <w:t xml:space="preserve">MANTENIMIENTO DE OFERTA: </w:t>
      </w:r>
      <w:r>
        <w:rPr>
          <w:rFonts w:cs="Arial" w:ascii="Arial" w:hAnsi="Arial"/>
          <w:sz w:val="24"/>
          <w:lang w:val="es-ES" w:eastAsia="es-AR"/>
        </w:rPr>
        <w:t>Será de treinta (30) días. Vencido dicho plazo sin que se produzca la adjudicación, los proponentes deberán notificar en forma fehaciente al organismo licitante dentro de los 2 días hábiles posteriores al vencimiento que la propuesta ha caducado, si así no lo hicieren, el plazo original de mantenimiento quedará automáticamente prorrogado por única vez por un término de 15 días a partir del día siguiente de producido el primer vencimiento.  Lo dispuesto en esta cláusula no podrá ser condicionado por el oferente en su propuesta.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sz w:val="24"/>
          <w:lang w:val="es-ES" w:eastAsia="es-AR"/>
        </w:rPr>
      </w:pPr>
      <w:r>
        <w:rPr>
          <w:rFonts w:cs="Arial" w:ascii="Arial" w:hAnsi="Arial"/>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lang w:val="es-ES"/>
        </w:rPr>
      </w:pPr>
      <w:r>
        <w:rPr>
          <w:rFonts w:cs="Arial" w:ascii="Arial" w:hAnsi="Arial"/>
          <w:lang w:val="es-E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b/>
          <w:sz w:val="24"/>
          <w:lang w:val="es-ES" w:eastAsia="es-AR"/>
        </w:rPr>
        <w:t xml:space="preserve">12. </w:t>
        <w:tab/>
        <w:t xml:space="preserve">NORMAS DE FACTURACIÓN: </w:t>
      </w:r>
      <w:r>
        <w:rPr>
          <w:rFonts w:cs="Arial" w:ascii="Arial" w:hAnsi="Arial"/>
          <w:sz w:val="24"/>
          <w:lang w:val="es-ES" w:eastAsia="es-AR"/>
        </w:rPr>
        <w:t>A todos los efectos previstos por la AFIP y la A.P.I., en normas vigentes, el adjudicatario consignará en todas las facturas que presente: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nombre y apellido o razón social.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domicilio.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lugar y fecha de emisión.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numeración consecutiva de 12 dígitos.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 número de inscripción de los impuestos sobre los Ingresos Brutos o condición de no contribuyente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-Leyenda indicando, condición de Emisor ante el IVA.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rPr>
      </w:pPr>
      <w:r>
        <w:rPr>
          <w:rFonts w:cs="Arial" w:ascii="Arial" w:hAnsi="Arial"/>
          <w:sz w:val="24"/>
          <w:lang w:val="es-ES" w:eastAsia="es-AR"/>
        </w:rPr>
        <w:t>-En los comprobantes deberá indicarse la sigla correspondiente a la modalidad de generación de comprobantes electrónicos, C.A.E. o C.A.E.A. según corresponda.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pPr>
      <w:r>
        <w:rPr>
          <w:rFonts w:cs="Arial" w:ascii="Arial" w:hAnsi="Arial"/>
          <w:sz w:val="24"/>
          <w:lang w:val="es-ES" w:eastAsia="es-AR"/>
        </w:rPr>
        <w:t>Las mismas deberán presentarse en la Oficina de Habilitación del Aeropuerto Internacional de Rosario -1º Piso- de 7 hs. A 19 hs.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 xml:space="preserve">13. SEGURO DEL PERSONAL: </w:t>
      </w:r>
      <w:r>
        <w:rPr>
          <w:rFonts w:eastAsia="Times New Roman" w:cs="Times New Roman" w:ascii="Arial" w:hAnsi="Arial"/>
          <w:sz w:val="24"/>
          <w:szCs w:val="20"/>
          <w:lang w:val="en-US" w:eastAsia="es-AR"/>
        </w:rPr>
        <w:t>El Oferente deberá contratar para el total del personal los siguientes seguros: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w:t>
      </w:r>
      <w:r>
        <w:rPr>
          <w:rFonts w:eastAsia="Times New Roman" w:cs="Times New Roman" w:ascii="Arial" w:hAnsi="Arial"/>
          <w:sz w:val="24"/>
          <w:szCs w:val="20"/>
          <w:lang w:val="en-US" w:eastAsia="es-AR"/>
        </w:rPr>
        <w:tab/>
        <w:t>Seguro Colectivo de Vida Obligatorio, de acuerdo al Decreto Nº 1567/74 y sus modificaciones y/o normativas complementarias.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sz w:val="24"/>
          <w:szCs w:val="20"/>
          <w:lang w:val="en-US" w:eastAsia="es-AR"/>
        </w:rPr>
        <w:t>•</w:t>
      </w:r>
      <w:r>
        <w:rPr>
          <w:rFonts w:eastAsia="Times New Roman" w:cs="Times New Roman" w:ascii="Arial" w:hAnsi="Arial"/>
          <w:sz w:val="24"/>
          <w:szCs w:val="20"/>
          <w:lang w:val="en-US" w:eastAsia="es-AR"/>
        </w:rPr>
        <w:tab/>
        <w:t xml:space="preserve">Seguro de Riesgos del Trabajo (ART) con cláusula de No Repetición al AIR. </w:t>
      </w:r>
    </w:p>
    <w:p>
      <w:pPr>
        <w:pStyle w:val="Normal"/>
        <w:spacing w:lineRule="auto" w:line="240" w:before="0" w:after="0"/>
        <w:jc w:val="both"/>
        <w:rPr/>
      </w:pPr>
      <w:r>
        <w:rPr>
          <w:rFonts w:eastAsia="Times New Roman" w:cs="Arial" w:ascii="Arial" w:hAnsi="Arial"/>
          <w:sz w:val="24"/>
          <w:szCs w:val="24"/>
          <w:lang w:eastAsia="es-ES"/>
        </w:rPr>
        <w:t>El Oferente deberá tomar a su cargo en una compañía del rubro debidamente reconocida y con autorización de la Superintendencia de Seguros de la Nación, a entera satisfacción del Aeropuerto Internacional Rosario, los seguros correspondientes.</w:t>
      </w:r>
    </w:p>
    <w:p>
      <w:pPr>
        <w:pStyle w:val="Normal"/>
        <w:spacing w:lineRule="auto" w:line="240" w:before="0" w:after="0"/>
        <w:jc w:val="both"/>
        <w:rPr/>
      </w:pPr>
      <w:r>
        <w:rPr>
          <w:rFonts w:eastAsia="Times New Roman" w:cs="Arial" w:ascii="Arial" w:hAnsi="Arial"/>
          <w:sz w:val="24"/>
          <w:szCs w:val="24"/>
          <w:lang w:eastAsia="es-ES"/>
        </w:rPr>
        <w:t xml:space="preserve"> </w:t>
      </w:r>
      <w:r>
        <w:rPr>
          <w:rFonts w:eastAsia="Times New Roman" w:cs="Arial" w:ascii="Arial" w:hAnsi="Arial"/>
          <w:sz w:val="24"/>
          <w:szCs w:val="24"/>
          <w:lang w:eastAsia="es-ES"/>
        </w:rPr>
        <w:t>El Oferente deberá contratar los seguros con anterioridad al inicio de los trabajos, debiendo presentar las pólizas respectivas endosadas a favor del Aeropuerto Internacional Rosario “Islas Malvinas”, sobre los siguientes riesgos:</w:t>
      </w:r>
    </w:p>
    <w:p>
      <w:pPr>
        <w:pStyle w:val="Normal"/>
        <w:spacing w:lineRule="auto" w:line="240" w:before="0" w:after="0"/>
        <w:jc w:val="both"/>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spacing w:lineRule="auto" w:line="240" w:before="0" w:after="0"/>
        <w:jc w:val="both"/>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numPr>
          <w:ilvl w:val="0"/>
          <w:numId w:val="2"/>
        </w:numPr>
        <w:tabs>
          <w:tab w:val="left" w:pos="0" w:leader="none"/>
        </w:tabs>
        <w:spacing w:lineRule="auto" w:line="240" w:before="0" w:after="0"/>
        <w:ind w:left="11" w:hanging="11"/>
        <w:jc w:val="both"/>
        <w:rPr/>
      </w:pPr>
      <w:r>
        <w:rPr>
          <w:rFonts w:eastAsia="Times New Roman" w:cs="Arial" w:ascii="Arial" w:hAnsi="Arial"/>
          <w:color w:val="000000"/>
          <w:sz w:val="24"/>
          <w:szCs w:val="24"/>
          <w:lang w:eastAsia="es-ES"/>
        </w:rPr>
        <w:t xml:space="preserve">Incendio – destrucción total o parcial </w:t>
      </w:r>
    </w:p>
    <w:p>
      <w:pPr>
        <w:pStyle w:val="Normal"/>
        <w:numPr>
          <w:ilvl w:val="0"/>
          <w:numId w:val="2"/>
        </w:numPr>
        <w:tabs>
          <w:tab w:val="left" w:pos="0" w:leader="none"/>
        </w:tabs>
        <w:spacing w:lineRule="auto" w:line="240" w:before="0" w:after="0"/>
        <w:ind w:left="11" w:hanging="11"/>
        <w:jc w:val="both"/>
        <w:rPr/>
      </w:pPr>
      <w:r>
        <w:rPr>
          <w:rFonts w:eastAsia="Times New Roman" w:cs="Arial" w:ascii="Arial" w:hAnsi="Arial"/>
          <w:sz w:val="24"/>
          <w:szCs w:val="24"/>
          <w:lang w:eastAsia="es-ES"/>
        </w:rPr>
        <w:t>Accidentes de trabajo personal</w:t>
      </w:r>
    </w:p>
    <w:p>
      <w:pPr>
        <w:pStyle w:val="Normal"/>
        <w:numPr>
          <w:ilvl w:val="0"/>
          <w:numId w:val="2"/>
        </w:numPr>
        <w:tabs>
          <w:tab w:val="left" w:pos="0" w:leader="none"/>
        </w:tabs>
        <w:spacing w:lineRule="auto" w:line="240" w:before="0" w:after="0"/>
        <w:ind w:left="11" w:hanging="11"/>
        <w:jc w:val="both"/>
        <w:rPr/>
      </w:pPr>
      <w:r>
        <w:rPr>
          <w:rFonts w:eastAsia="Times New Roman" w:cs="Arial" w:ascii="Arial" w:hAnsi="Arial"/>
          <w:sz w:val="24"/>
          <w:szCs w:val="24"/>
          <w:lang w:eastAsia="es-ES"/>
        </w:rPr>
        <w:t>Seguro de Responsabilidad Civil</w:t>
      </w:r>
    </w:p>
    <w:p>
      <w:pPr>
        <w:pStyle w:val="Normal"/>
        <w:spacing w:lineRule="auto" w:line="240" w:before="0" w:after="0"/>
        <w:ind w:left="11" w:hanging="0"/>
        <w:jc w:val="both"/>
        <w:rPr>
          <w:rFonts w:ascii="Arial" w:hAnsi="Arial" w:eastAsia="Times New Roman" w:cs="Arial"/>
          <w:sz w:val="24"/>
          <w:szCs w:val="24"/>
          <w:lang w:eastAsia="es-ES"/>
        </w:rPr>
      </w:pPr>
      <w:r>
        <w:rPr>
          <w:rFonts w:eastAsia="Times New Roman" w:cs="Arial" w:ascii="Arial" w:hAnsi="Arial"/>
          <w:sz w:val="24"/>
          <w:szCs w:val="24"/>
          <w:lang w:eastAsia="es-ES"/>
        </w:rPr>
      </w:r>
    </w:p>
    <w:p>
      <w:pPr>
        <w:pStyle w:val="Normal"/>
        <w:spacing w:lineRule="auto" w:line="240" w:before="0" w:after="0"/>
        <w:ind w:left="11" w:hanging="0"/>
        <w:jc w:val="both"/>
        <w:rPr/>
      </w:pPr>
      <w:r>
        <w:rPr>
          <w:rFonts w:eastAsia="Times New Roman" w:cs="Arial" w:ascii="Arial" w:hAnsi="Arial"/>
          <w:sz w:val="24"/>
          <w:szCs w:val="24"/>
          <w:lang w:eastAsia="es-ES"/>
        </w:rPr>
        <w:t xml:space="preserve">El Oferente constituirá un Seguro que cubra su Responsabilidad Civil comprensiva de toda actividad desarrollada durante la obra, por daños causados contra usuarios y terceros y a los bienes de estos. Este seguro contará con la cláusula de NO repetición y Cancelación a favor del Aeropuerto. </w:t>
      </w:r>
    </w:p>
    <w:p>
      <w:pPr>
        <w:pStyle w:val="Normal"/>
        <w:spacing w:lineRule="auto" w:line="240" w:before="0" w:after="0"/>
        <w:jc w:val="both"/>
        <w:rPr/>
      </w:pPr>
      <w:r>
        <w:rPr>
          <w:rFonts w:eastAsia="Times New Roman" w:cs="Arial" w:ascii="Arial" w:hAnsi="Arial"/>
          <w:sz w:val="24"/>
          <w:szCs w:val="24"/>
          <w:lang w:eastAsia="es-ES"/>
        </w:rPr>
        <w:t>El costo de todos los seguros exigidos en este Pliego será a cargo del Oferente. Antes del inicio de obra, el Oferente deberá presentar las pólizas previamente enunciadas a fin de su consideración por parte del Aeropuerto Internacional Rosario con los montos consignados y los riesgos cubiertos</w:t>
      </w:r>
    </w:p>
    <w:p>
      <w:pPr>
        <w:pStyle w:val="Normal"/>
        <w:spacing w:lineRule="auto" w:line="240" w:before="0" w:after="0"/>
        <w:jc w:val="both"/>
        <w:rPr/>
      </w:pPr>
      <w:r>
        <w:rPr>
          <w:rFonts w:eastAsia="Times New Roman" w:cs="Arial" w:ascii="Arial" w:hAnsi="Arial"/>
          <w:sz w:val="24"/>
          <w:szCs w:val="24"/>
          <w:lang w:eastAsia="es-ES"/>
        </w:rPr>
        <w:t>Los contratos de seguros deberán mantenerse vigentes y actualizados durante todo el plazo de obra.</w:t>
      </w:r>
    </w:p>
    <w:p>
      <w:pPr>
        <w:pStyle w:val="Normal"/>
        <w:spacing w:lineRule="auto" w:line="240" w:before="0" w:after="0"/>
        <w:jc w:val="both"/>
        <w:rPr/>
      </w:pPr>
      <w:r>
        <w:rPr>
          <w:rFonts w:eastAsia="Times New Roman" w:cs="Arial" w:ascii="Arial" w:hAnsi="Arial"/>
          <w:sz w:val="24"/>
          <w:szCs w:val="24"/>
          <w:lang w:eastAsia="es-ES"/>
        </w:rPr>
        <w:t>Será considerada falta grave del Oferente tener sin cobertura alguno de los riesgos sobre los que versan los seguros indicados precedentemente, como así también el atraso en los pagos de los mismos. A tal fin el Oferente deberá exhibir a requerimiento del A.I.R., las constancias de pago de los seguros respectivos. El Oferente deberá ceder a Aeropuerto Internacional Rosario “Isla Malvinas” los derechos sobre eventuales indemnizaciones que puedan corresponderle en caso de destrucción previstos en el presente Pliego.</w:t>
      </w:r>
    </w:p>
    <w:p>
      <w:pPr>
        <w:pStyle w:val="Normal"/>
        <w:spacing w:lineRule="auto" w:line="240" w:before="0" w:after="0"/>
        <w:jc w:val="both"/>
        <w:rPr/>
      </w:pPr>
      <w:r>
        <w:rPr>
          <w:rFonts w:eastAsia="Times New Roman" w:cs="Arial" w:ascii="Arial" w:hAnsi="Arial"/>
          <w:sz w:val="24"/>
          <w:szCs w:val="24"/>
          <w:lang w:eastAsia="es-ES"/>
        </w:rPr>
        <w:t xml:space="preserve">Las Aseguradoras deberán asumir se responsabilidad como fiadores lisas, llanas y principales pagadoras, constituir domicilio en la ciudad de </w:t>
      </w:r>
      <w:r>
        <w:rPr>
          <w:rFonts w:eastAsia="Times New Roman" w:cs="Arial" w:ascii="Arial" w:hAnsi="Arial"/>
          <w:caps/>
          <w:sz w:val="24"/>
          <w:szCs w:val="24"/>
          <w:lang w:eastAsia="es-ES"/>
        </w:rPr>
        <w:t xml:space="preserve"> </w:t>
      </w:r>
      <w:r>
        <w:rPr>
          <w:rFonts w:eastAsia="Times New Roman" w:cs="Arial" w:ascii="Arial" w:hAnsi="Arial"/>
          <w:sz w:val="24"/>
          <w:szCs w:val="24"/>
          <w:lang w:eastAsia="es-ES"/>
        </w:rPr>
        <w:t>Rosario</w:t>
      </w:r>
      <w:r>
        <w:rPr>
          <w:rFonts w:eastAsia="Times New Roman" w:cs="Arial" w:ascii="Arial" w:hAnsi="Arial"/>
          <w:caps/>
          <w:sz w:val="24"/>
          <w:szCs w:val="24"/>
          <w:lang w:eastAsia="es-ES"/>
        </w:rPr>
        <w:t xml:space="preserve">, </w:t>
      </w:r>
      <w:r>
        <w:rPr>
          <w:rFonts w:eastAsia="Times New Roman" w:cs="Arial" w:ascii="Arial" w:hAnsi="Arial"/>
          <w:sz w:val="24"/>
          <w:szCs w:val="24"/>
          <w:lang w:eastAsia="es-ES"/>
        </w:rPr>
        <w:t xml:space="preserve">y someterse a ka jurisdicción de los Tribunales Ordinarios de nuestra ciudad. </w:t>
      </w:r>
    </w:p>
    <w:p>
      <w:pPr>
        <w:pStyle w:val="Normal"/>
        <w:spacing w:lineRule="auto" w:line="240" w:before="0" w:after="0"/>
        <w:jc w:val="both"/>
        <w:rPr/>
      </w:pPr>
      <w:r>
        <w:rPr>
          <w:rFonts w:eastAsia="Times New Roman" w:cs="Arial" w:ascii="Arial" w:hAnsi="Arial"/>
          <w:sz w:val="24"/>
          <w:szCs w:val="24"/>
          <w:lang w:eastAsia="es-ES"/>
        </w:rPr>
        <w:t xml:space="preserve">El Aeropuerto podrá solicitar modificaciones en las condiciones contractuales de las pólizas, las cuales deberán ser aceptadas por el Contratista y en el término de 10 (diez) días.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spacing w:lineRule="auto" w:line="240"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240" w:before="0" w:after="0"/>
        <w:jc w:val="both"/>
        <w:rPr/>
      </w:pPr>
      <w:r>
        <w:rPr>
          <w:rFonts w:eastAsia="Times New Roman" w:cs="Arial" w:ascii="Arial" w:hAnsi="Arial"/>
          <w:b/>
          <w:sz w:val="24"/>
          <w:szCs w:val="24"/>
          <w:lang w:eastAsia="es-ES"/>
        </w:rPr>
        <w:t>14.  CONDICIONES DE SEGURIDAD EN LA OBRA</w:t>
      </w:r>
      <w:r>
        <w:rPr>
          <w:rFonts w:eastAsia="Times New Roman" w:cs="Arial" w:ascii="Arial" w:hAnsi="Arial"/>
          <w:b/>
          <w:lang w:eastAsia="es-ES"/>
        </w:rPr>
        <w:t xml:space="preserve">: </w:t>
      </w:r>
      <w:r>
        <w:rPr>
          <w:rFonts w:eastAsia="Times New Roman" w:cs="Arial" w:ascii="Arial" w:hAnsi="Arial"/>
          <w:lang w:eastAsia="es-ES"/>
        </w:rPr>
        <w:t>La Empresa Adjudicataria está obligada al conocimiento y respeto de la normativa vigente en lo ateniente a Higiene y Seguridad en el Trabajo y demás reglamentaciones relacionadas con aspectos ambientales y de seguridad. Complementariamente deberá responder a lo establecido en el Art.18 del P.C.B y 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rFonts w:ascii="Arial" w:hAnsi="Arial" w:eastAsia="Times New Roman" w:cs="Times New Roman"/>
          <w:b/>
          <w:b/>
          <w:sz w:val="24"/>
          <w:szCs w:val="20"/>
          <w:lang w:val="en-US" w:eastAsia="es-AR"/>
        </w:rPr>
      </w:pPr>
      <w:r>
        <w:rPr>
          <w:rFonts w:eastAsia="Times New Roman" w:cs="Times New Roman" w:ascii="Arial" w:hAnsi="Arial"/>
          <w:b/>
          <w:sz w:val="24"/>
          <w:szCs w:val="20"/>
          <w:lang w:val="en-U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uto" w:line="240" w:before="0" w:after="0"/>
        <w:jc w:val="both"/>
        <w:rPr/>
      </w:pPr>
      <w:r>
        <w:rPr>
          <w:rFonts w:eastAsia="Times New Roman" w:cs="Times New Roman" w:ascii="Arial" w:hAnsi="Arial"/>
          <w:b/>
          <w:sz w:val="24"/>
          <w:szCs w:val="20"/>
          <w:lang w:val="en-US" w:eastAsia="es-AR"/>
        </w:rPr>
        <w:t xml:space="preserve">15. LEGISLACIÓN APLICABLE: </w:t>
      </w:r>
      <w:r>
        <w:rPr>
          <w:rFonts w:eastAsia="Times New Roman" w:cs="Times New Roman" w:ascii="Arial" w:hAnsi="Arial"/>
          <w:sz w:val="24"/>
          <w:szCs w:val="20"/>
          <w:lang w:val="en-US" w:eastAsia="es-AR"/>
        </w:rPr>
        <w:t>Esta gestión se rige por  el Decreto Nº 5119 Pliego Único de Bases y Condiciones, y la ley de Obras Públicas - Ley Nº5188.</w:t>
      </w:r>
    </w:p>
    <w:p>
      <w:pPr>
        <w:pStyle w:val="Normal"/>
        <w:spacing w:lineRule="auto" w:line="240" w:before="0" w:after="0"/>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spacing w:lineRule="auto" w:line="240" w:before="0" w:after="0"/>
        <w:jc w:val="center"/>
        <w:rPr>
          <w:rFonts w:ascii="Arial" w:hAnsi="Arial" w:eastAsia="Times New Roman" w:cs="Times New Roman"/>
          <w:sz w:val="24"/>
          <w:szCs w:val="20"/>
          <w:lang w:val="en-US" w:eastAsia="es-AR"/>
        </w:rPr>
      </w:pPr>
      <w:r>
        <w:rPr>
          <w:rFonts w:eastAsia="Times New Roman" w:cs="Times New Roman" w:ascii="Arial" w:hAnsi="Arial"/>
          <w:sz w:val="24"/>
          <w:szCs w:val="20"/>
          <w:lang w:val="en-US" w:eastAsia="es-AR"/>
        </w:rPr>
      </w:r>
    </w:p>
    <w:p>
      <w:pPr>
        <w:pStyle w:val="Normal"/>
        <w:spacing w:lineRule="auto" w:line="240" w:before="0" w:after="0"/>
        <w:jc w:val="both"/>
        <w:rPr/>
      </w:pPr>
      <w:r>
        <w:rPr>
          <w:rFonts w:eastAsia="Times New Roman" w:cs="Times New Roman" w:ascii="Arial" w:hAnsi="Arial"/>
          <w:b/>
          <w:sz w:val="24"/>
          <w:szCs w:val="20"/>
          <w:lang w:val="en-US" w:eastAsia="es-AR"/>
        </w:rPr>
        <w:t xml:space="preserve">INFORMES Y VENTA DE PLIEGOS: </w:t>
      </w:r>
      <w:r>
        <w:rPr>
          <w:rFonts w:eastAsia="Times New Roman" w:cs="Times New Roman" w:ascii="Arial" w:hAnsi="Arial"/>
          <w:sz w:val="24"/>
          <w:szCs w:val="20"/>
          <w:lang w:val="en-US" w:eastAsia="es-AR"/>
        </w:rPr>
        <w:t>En la Dirección General de Administración:</w:t>
      </w:r>
    </w:p>
    <w:p>
      <w:pPr>
        <w:pStyle w:val="Normal"/>
        <w:spacing w:lineRule="auto" w:line="240" w:before="0" w:after="0"/>
        <w:jc w:val="both"/>
        <w:rPr/>
      </w:pPr>
      <w:r>
        <w:rPr>
          <w:rFonts w:eastAsia="Times New Roman" w:cs="Times New Roman" w:ascii="Arial" w:hAnsi="Arial"/>
          <w:sz w:val="24"/>
          <w:szCs w:val="20"/>
          <w:lang w:eastAsia="es-AR"/>
        </w:rPr>
        <w:t>Av. Jorge Newbery S/N - ROSARIO (2000) – Tel. 4513220 int. 1115, en horario de 7 a 13 hs.</w:t>
      </w:r>
    </w:p>
    <w:p>
      <w:pPr>
        <w:pStyle w:val="Normal"/>
        <w:spacing w:lineRule="auto" w:line="240" w:before="0" w:after="0"/>
        <w:jc w:val="both"/>
        <w:rPr/>
      </w:pPr>
      <w:r>
        <w:rPr>
          <w:rFonts w:eastAsia="Times New Roman" w:cs="Times New Roman" w:ascii="Arial" w:hAnsi="Arial"/>
          <w:sz w:val="24"/>
          <w:szCs w:val="20"/>
          <w:lang w:eastAsia="es-AR"/>
        </w:rPr>
        <w:t xml:space="preserve"> </w:t>
      </w:r>
    </w:p>
    <w:p>
      <w:pPr>
        <w:pStyle w:val="Normal"/>
        <w:spacing w:lineRule="auto" w:line="240" w:before="0" w:after="0"/>
        <w:jc w:val="both"/>
        <w:rPr/>
      </w:pPr>
      <w:r>
        <w:rPr>
          <w:rFonts w:eastAsia="Times New Roman" w:cs="Times New Roman" w:ascii="Arial" w:hAnsi="Arial"/>
          <w:b/>
          <w:bCs/>
          <w:sz w:val="24"/>
          <w:szCs w:val="20"/>
          <w:lang w:eastAsia="es-AR"/>
        </w:rPr>
        <w:t xml:space="preserve">AEROPUERTO INTERNACIONAL ROSARIO, Rosario </w:t>
      </w:r>
      <w:r>
        <w:rPr>
          <w:rFonts w:eastAsia="Times New Roman" w:cs="Times New Roman" w:ascii="Arial" w:hAnsi="Arial"/>
          <w:b/>
          <w:bCs/>
          <w:sz w:val="24"/>
          <w:szCs w:val="20"/>
          <w:lang w:eastAsia="es-AR"/>
        </w:rPr>
        <w:t>noviembre</w:t>
      </w:r>
      <w:r>
        <w:rPr>
          <w:rFonts w:eastAsia="Times New Roman" w:cs="Times New Roman" w:ascii="Arial" w:hAnsi="Arial"/>
          <w:b/>
          <w:bCs/>
          <w:sz w:val="24"/>
          <w:szCs w:val="20"/>
          <w:lang w:eastAsia="es-AR"/>
        </w:rPr>
        <w:t xml:space="preserve"> del 2017.-</w:t>
      </w:r>
    </w:p>
    <w:p>
      <w:pPr>
        <w:pStyle w:val="Normal"/>
        <w:spacing w:lineRule="auto" w:line="240" w:before="0" w:after="0"/>
        <w:rPr>
          <w:rFonts w:ascii="Arial" w:hAnsi="Arial" w:eastAsia="Times New Roman" w:cs="Times New Roman"/>
          <w:sz w:val="24"/>
          <w:szCs w:val="20"/>
          <w:lang w:val="en-US" w:eastAsia="es-AR"/>
        </w:rPr>
      </w:pPr>
      <w:bookmarkStart w:id="4" w:name="_GoBack"/>
      <w:bookmarkStart w:id="5" w:name="_GoBack"/>
      <w:bookmarkEnd w:id="5"/>
      <w:r>
        <w:rPr>
          <w:rFonts w:eastAsia="Times New Roman" w:cs="Times New Roman" w:ascii="Arial" w:hAnsi="Arial"/>
          <w:sz w:val="24"/>
          <w:szCs w:val="20"/>
          <w:lang w:val="en-US" w:eastAsia="es-AR"/>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bidi w:val="0"/>
        <w:spacing w:lineRule="auto" w:line="276" w:before="0" w:after="200"/>
        <w:jc w:val="left"/>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rFonts w:ascii="Arial" w:hAnsi="Arial" w:cs="Arial"/>
          <w:b/>
          <w:b/>
          <w:sz w:val="24"/>
          <w:lang w:val="es-ES" w:eastAsia="es-AR"/>
        </w:rPr>
      </w:pPr>
      <w:r>
        <w:rPr>
          <w:rFonts w:cs="Arial" w:ascii="Arial" w:hAnsi="Arial"/>
          <w:b/>
          <w:sz w:val="24"/>
          <w:lang w:val="es-ES" w:eastAsia="es-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rPr/>
      </w:pPr>
      <w:r>
        <w:rPr/>
      </w:r>
    </w:p>
    <w:sectPr>
      <w:type w:val="nextPage"/>
      <w:pgSz w:w="11906" w:h="16838"/>
      <w:pgMar w:left="1440" w:right="1250" w:header="0" w:top="1134" w:footer="0" w:bottom="42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360"/>
        </w:tabs>
        <w:ind w:left="360" w:hanging="360"/>
      </w:pPr>
      <w:rPr>
        <w:sz w:val="24"/>
        <w:b/>
        <w:rFonts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720"/>
      </w:pPr>
      <w:rPr>
        <w:sz w:val="24"/>
        <w:b/>
        <w:rFonts w:cs="Arial"/>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s-AR" w:eastAsia="es-AR" w:bidi="ar-SA"/>
    </w:rPr>
  </w:style>
  <w:style w:type="paragraph" w:styleId="Encabezado1">
    <w:name w:val="Encabezado 1"/>
    <w:basedOn w:val="Encabezado"/>
    <w:next w:val="Normal"/>
    <w:qFormat/>
    <w:pPr>
      <w:widowControl/>
      <w:suppressAutoHyphens w:val="true"/>
      <w:bidi w:val="0"/>
      <w:jc w:val="left"/>
      <w:outlineLvl w:val="0"/>
    </w:pPr>
    <w:rPr>
      <w:rFonts w:ascii="Times New Roman" w:hAnsi="Times New Roman" w:eastAsia="Times New Roman" w:cs="Times New Roman"/>
      <w:color w:val="00000A"/>
      <w:sz w:val="20"/>
      <w:szCs w:val="20"/>
      <w:lang w:val="es-AR" w:eastAsia="es-AR" w:bidi="ar-SA"/>
    </w:rPr>
  </w:style>
  <w:style w:type="paragraph" w:styleId="Encabezado2">
    <w:name w:val="Encabezado 2"/>
    <w:basedOn w:val="Encabezado"/>
    <w:next w:val="Normal"/>
    <w:qFormat/>
    <w:pPr>
      <w:widowControl/>
      <w:suppressAutoHyphens w:val="true"/>
      <w:bidi w:val="0"/>
      <w:jc w:val="left"/>
      <w:outlineLvl w:val="1"/>
    </w:pPr>
    <w:rPr>
      <w:rFonts w:ascii="Times New Roman" w:hAnsi="Times New Roman" w:eastAsia="Times New Roman" w:cs="Times New Roman"/>
      <w:color w:val="00000A"/>
      <w:sz w:val="20"/>
      <w:szCs w:val="20"/>
      <w:lang w:val="es-AR" w:eastAsia="es-AR" w:bidi="ar-SA"/>
    </w:rPr>
  </w:style>
  <w:style w:type="paragraph" w:styleId="Encabezado3">
    <w:name w:val="Encabezado 3"/>
    <w:basedOn w:val="Encabezado"/>
    <w:next w:val="Normal"/>
    <w:qFormat/>
    <w:pPr>
      <w:widowControl/>
      <w:suppressAutoHyphens w:val="true"/>
      <w:bidi w:val="0"/>
      <w:jc w:val="left"/>
      <w:outlineLvl w:val="2"/>
    </w:pPr>
    <w:rPr>
      <w:rFonts w:ascii="Times New Roman" w:hAnsi="Times New Roman" w:eastAsia="Times New Roman" w:cs="Times New Roman"/>
      <w:color w:val="00000A"/>
      <w:sz w:val="20"/>
      <w:szCs w:val="20"/>
      <w:lang w:val="es-AR" w:eastAsia="es-AR" w:bidi="ar-SA"/>
    </w:rPr>
  </w:style>
  <w:style w:type="paragraph" w:styleId="Encabezado4">
    <w:name w:val="Encabezado 4"/>
    <w:basedOn w:val="Encabezado"/>
    <w:next w:val="Normal"/>
    <w:qFormat/>
    <w:pPr>
      <w:widowControl/>
      <w:suppressAutoHyphens w:val="true"/>
      <w:bidi w:val="0"/>
      <w:jc w:val="left"/>
      <w:outlineLvl w:val="3"/>
    </w:pPr>
    <w:rPr>
      <w:rFonts w:ascii="Times New Roman" w:hAnsi="Times New Roman" w:eastAsia="Times New Roman" w:cs="Times New Roman"/>
      <w:color w:val="00000A"/>
      <w:sz w:val="20"/>
      <w:szCs w:val="20"/>
      <w:lang w:val="es-AR" w:eastAsia="es-AR" w:bidi="ar-SA"/>
    </w:rPr>
  </w:style>
  <w:style w:type="paragraph" w:styleId="Encabezado5">
    <w:name w:val="Encabezado 5"/>
    <w:basedOn w:val="Encabezado"/>
    <w:next w:val="Normal"/>
    <w:qFormat/>
    <w:pPr>
      <w:widowControl/>
      <w:suppressAutoHyphens w:val="true"/>
      <w:bidi w:val="0"/>
      <w:jc w:val="left"/>
      <w:outlineLvl w:val="4"/>
    </w:pPr>
    <w:rPr>
      <w:rFonts w:ascii="Times New Roman" w:hAnsi="Times New Roman" w:eastAsia="Times New Roman" w:cs="Times New Roman"/>
      <w:color w:val="00000A"/>
      <w:sz w:val="20"/>
      <w:szCs w:val="20"/>
      <w:lang w:val="es-AR" w:eastAsia="es-AR" w:bidi="ar-SA"/>
    </w:rPr>
  </w:style>
  <w:style w:type="paragraph" w:styleId="Encabezado6">
    <w:name w:val="Encabezado 6"/>
    <w:basedOn w:val="Encabezado"/>
    <w:next w:val="Normal"/>
    <w:qFormat/>
    <w:pPr>
      <w:widowControl/>
      <w:suppressAutoHyphens w:val="true"/>
      <w:bidi w:val="0"/>
      <w:jc w:val="left"/>
      <w:outlineLvl w:val="5"/>
    </w:pPr>
    <w:rPr>
      <w:rFonts w:ascii="Times New Roman" w:hAnsi="Times New Roman" w:eastAsia="Times New Roman" w:cs="Times New Roman"/>
      <w:color w:val="00000A"/>
      <w:sz w:val="20"/>
      <w:szCs w:val="20"/>
      <w:lang w:val="es-AR" w:eastAsia="es-AR" w:bidi="ar-SA"/>
    </w:rPr>
  </w:style>
  <w:style w:type="paragraph" w:styleId="Encabezado7">
    <w:name w:val="Encabezado 7"/>
    <w:basedOn w:val="Encabezado"/>
    <w:next w:val="Normal"/>
    <w:qFormat/>
    <w:pPr>
      <w:widowControl/>
      <w:suppressAutoHyphens w:val="true"/>
      <w:bidi w:val="0"/>
      <w:jc w:val="left"/>
      <w:outlineLvl w:val="6"/>
    </w:pPr>
    <w:rPr>
      <w:rFonts w:ascii="Times New Roman" w:hAnsi="Times New Roman" w:eastAsia="Times New Roman" w:cs="Times New Roman"/>
      <w:color w:val="00000A"/>
      <w:sz w:val="20"/>
      <w:szCs w:val="20"/>
      <w:lang w:val="es-AR" w:eastAsia="es-AR" w:bidi="ar-SA"/>
    </w:rPr>
  </w:style>
  <w:style w:type="paragraph" w:styleId="Encabezado8">
    <w:name w:val="Encabezado 8"/>
    <w:basedOn w:val="Encabezado"/>
    <w:next w:val="Normal"/>
    <w:qFormat/>
    <w:pPr>
      <w:widowControl/>
      <w:suppressAutoHyphens w:val="true"/>
      <w:bidi w:val="0"/>
      <w:jc w:val="left"/>
      <w:outlineLvl w:val="7"/>
    </w:pPr>
    <w:rPr>
      <w:rFonts w:ascii="Times New Roman" w:hAnsi="Times New Roman" w:eastAsia="Times New Roman" w:cs="Times New Roman"/>
      <w:color w:val="00000A"/>
      <w:sz w:val="20"/>
      <w:szCs w:val="20"/>
      <w:lang w:val="es-AR" w:eastAsia="es-AR" w:bidi="ar-SA"/>
    </w:rPr>
  </w:style>
  <w:style w:type="paragraph" w:styleId="Encabezado9">
    <w:name w:val="Encabezado 9"/>
    <w:basedOn w:val="Encabezado"/>
    <w:next w:val="Normal"/>
    <w:qFormat/>
    <w:pPr>
      <w:widowControl/>
      <w:suppressAutoHyphens w:val="true"/>
      <w:bidi w:val="0"/>
      <w:jc w:val="left"/>
      <w:outlineLvl w:val="8"/>
    </w:pPr>
    <w:rPr>
      <w:rFonts w:ascii="Times New Roman" w:hAnsi="Times New Roman" w:eastAsia="Times New Roman" w:cs="Times New Roman"/>
      <w:color w:val="00000A"/>
      <w:sz w:val="20"/>
      <w:szCs w:val="20"/>
      <w:lang w:val="es-AR" w:eastAsia="es-AR"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sz w:val="24"/>
      <w:lang w:val="es-ES" w:eastAsia="es-AR"/>
    </w:rPr>
  </w:style>
  <w:style w:type="character" w:styleId="WW8Num3z0">
    <w:name w:val="WW8Num3z0"/>
    <w:qFormat/>
    <w:rPr>
      <w:rFonts w:ascii="Arial" w:hAnsi="Arial" w:eastAsia="Calibri" w:cs="Arial"/>
      <w:b/>
      <w:sz w:val="24"/>
      <w:szCs w:val="22"/>
      <w:lang w:val="es-ES" w:eastAsia="es-AR"/>
    </w:rPr>
  </w:style>
  <w:style w:type="character" w:styleId="WW8Num4z0">
    <w:name w:val="WW8Num4z0"/>
    <w:qFormat/>
    <w:rPr>
      <w:rFonts w:ascii="Arial" w:hAnsi="Arial" w:cs="Arial"/>
      <w:b/>
      <w:sz w:val="24"/>
      <w:lang w:val="es-ES" w:eastAsia="es-AR"/>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rFonts w:ascii="Arial" w:hAnsi="Arial" w:cs="Arial"/>
      <w:b/>
      <w:sz w:val="24"/>
      <w:lang w:val="es-ES" w:eastAsia="es-AR"/>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b/>
    </w:rPr>
  </w:style>
  <w:style w:type="character" w:styleId="WW8Num11z0">
    <w:name w:val="WW8Num11z0"/>
    <w:qFormat/>
    <w:rPr/>
  </w:style>
  <w:style w:type="character" w:styleId="WW8Num12z0">
    <w:name w:val="WW8Num12z0"/>
    <w:qFormat/>
    <w:rPr>
      <w:rFonts w:ascii="Symbol" w:hAnsi="Symbol" w:cs="Symbol"/>
    </w:rPr>
  </w:style>
  <w:style w:type="character" w:styleId="WW8Num12z1">
    <w:name w:val="WW8Num12z1"/>
    <w:qFormat/>
    <w:rPr>
      <w:rFonts w:ascii="Times New Roman" w:hAnsi="Times New Roman" w:eastAsia="Times New Roman" w:cs="Times New Roman"/>
    </w:rPr>
  </w:style>
  <w:style w:type="character" w:styleId="WW8Num12z2">
    <w:name w:val="WW8Num12z2"/>
    <w:qFormat/>
    <w:rPr>
      <w:rFonts w:ascii="Wingdings" w:hAnsi="Wingdings" w:cs="Wingdings"/>
    </w:rPr>
  </w:style>
  <w:style w:type="character" w:styleId="WW8Num12z4">
    <w:name w:val="WW8Num12z4"/>
    <w:qFormat/>
    <w:rPr>
      <w:rFonts w:ascii="Courier New" w:hAnsi="Courier New" w:cs="Courier New"/>
    </w:rPr>
  </w:style>
  <w:style w:type="character" w:styleId="WW8Num13z0">
    <w:name w:val="WW8Num13z0"/>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b/>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Arial" w:hAnsi="Arial" w:cs="Arial"/>
      <w:b/>
      <w:sz w:val="24"/>
      <w:lang w:val="es-ES" w:eastAsia="es-AR"/>
    </w:rPr>
  </w:style>
  <w:style w:type="character" w:styleId="WW8Num18z0">
    <w:name w:val="WW8Num18z0"/>
    <w:qFormat/>
    <w:rPr>
      <w:b/>
    </w:rPr>
  </w:style>
  <w:style w:type="character" w:styleId="WW8Num19z0">
    <w:name w:val="WW8Num19z0"/>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Arial" w:hAnsi="Arial" w:cs="Arial"/>
      <w:b/>
      <w:sz w:val="24"/>
      <w:lang w:val="es-ES" w:eastAsia="es-AR"/>
    </w:rPr>
  </w:style>
  <w:style w:type="character" w:styleId="WW8Num22z0">
    <w:name w:val="WW8Num22z0"/>
    <w:qFormat/>
    <w:rPr>
      <w:b/>
    </w:rPr>
  </w:style>
  <w:style w:type="character" w:styleId="Fuentedeprrafopredeter">
    <w:name w:val="Fuente de párrafo predeter."/>
    <w:qFormat/>
    <w:rPr/>
  </w:style>
  <w:style w:type="character" w:styleId="EnlacedeInternet">
    <w:name w:val="Enlace de Internet"/>
    <w:rPr>
      <w:color w:val="0000FF"/>
      <w:u w:val="single"/>
    </w:rPr>
  </w:style>
  <w:style w:type="character" w:styleId="TextodegloboCar">
    <w:name w:val="Texto de globo Car"/>
    <w:qFormat/>
    <w:rPr>
      <w:rFonts w:ascii="Tahoma" w:hAnsi="Tahoma" w:cs="Tahoma"/>
      <w:sz w:val="16"/>
      <w:szCs w:val="16"/>
      <w:lang w:val="es-AR" w:eastAsia="es-AR"/>
    </w:rPr>
  </w:style>
  <w:style w:type="character" w:styleId="ListLabel1">
    <w:name w:val="ListLabel 1"/>
    <w:qFormat/>
    <w:rPr>
      <w:rFonts w:ascii="Arial" w:hAnsi="Arial" w:cs="Arial"/>
      <w:b/>
      <w:sz w:val="24"/>
      <w:lang w:val="es-ES" w:eastAsia="es-AR"/>
    </w:rPr>
  </w:style>
  <w:style w:type="character" w:styleId="ListLabel2">
    <w:name w:val="ListLabel 2"/>
    <w:qFormat/>
    <w:rPr>
      <w:rFonts w:ascii="Arial" w:hAnsi="Arial" w:eastAsia="Calibri" w:cs="Arial"/>
      <w:b/>
      <w:sz w:val="24"/>
      <w:szCs w:val="22"/>
      <w:lang w:val="es-ES" w:eastAsia="es-AR"/>
    </w:rPr>
  </w:style>
  <w:style w:type="character" w:styleId="ListLabel3">
    <w:name w:val="ListLabel 3"/>
    <w:qFormat/>
    <w:rPr>
      <w:rFonts w:ascii="Arial" w:hAnsi="Arial" w:cs="Arial"/>
      <w:b/>
      <w:sz w:val="24"/>
      <w:lang w:val="es-ES" w:eastAsia="es-AR"/>
    </w:rPr>
  </w:style>
  <w:style w:type="character" w:styleId="ListLabel4">
    <w:name w:val="ListLabel 4"/>
    <w:qFormat/>
    <w:rPr>
      <w:rFonts w:ascii="Arial" w:hAnsi="Arial" w:eastAsia="Calibri" w:cs="Arial"/>
      <w:b/>
      <w:sz w:val="24"/>
      <w:szCs w:val="22"/>
      <w:lang w:val="es-ES" w:eastAsia="es-AR"/>
    </w:rPr>
  </w:style>
  <w:style w:type="character" w:styleId="ListLabel5">
    <w:name w:val="ListLabel 5"/>
    <w:qFormat/>
    <w:rPr>
      <w:rFonts w:ascii="Arial" w:hAnsi="Arial" w:cs="Arial"/>
      <w:b/>
      <w:sz w:val="24"/>
      <w:lang w:val="es-ES" w:eastAsia="es-AR"/>
    </w:rPr>
  </w:style>
  <w:style w:type="character" w:styleId="ListLabel6">
    <w:name w:val="ListLabel 6"/>
    <w:qFormat/>
    <w:rPr>
      <w:rFonts w:ascii="Arial" w:hAnsi="Arial" w:cs="Arial"/>
      <w:b/>
      <w:sz w:val="24"/>
      <w:lang w:val="es-ES" w:eastAsia="es-AR"/>
    </w:rPr>
  </w:style>
  <w:style w:type="character" w:styleId="ListLabel7">
    <w:name w:val="ListLabel 7"/>
    <w:qFormat/>
    <w:rPr>
      <w:rFonts w:ascii="Arial" w:hAnsi="Arial" w:eastAsia="Calibri" w:cs="Arial"/>
      <w:b/>
      <w:sz w:val="24"/>
      <w:szCs w:val="22"/>
      <w:lang w:val="es-ES" w:eastAsia="es-AR"/>
    </w:rPr>
  </w:style>
  <w:style w:type="character" w:styleId="ListLabel8">
    <w:name w:val="ListLabel 8"/>
    <w:qFormat/>
    <w:rPr>
      <w:rFonts w:ascii="Arial" w:hAnsi="Arial" w:cs="Arial"/>
      <w:b/>
      <w:sz w:val="24"/>
      <w:lang w:val="es-ES" w:eastAsia="es-AR"/>
    </w:rPr>
  </w:style>
  <w:style w:type="character" w:styleId="ListLabel9">
    <w:name w:val="ListLabel 9"/>
    <w:qFormat/>
    <w:rPr>
      <w:rFonts w:ascii="Arial" w:hAnsi="Arial" w:eastAsia="Calibri" w:cs="Arial"/>
      <w:b/>
      <w:sz w:val="24"/>
      <w:szCs w:val="22"/>
      <w:lang w:val="es-ES" w:eastAsia="es-AR"/>
    </w:rPr>
  </w:style>
  <w:style w:type="character" w:styleId="ListLabel10">
    <w:name w:val="ListLabel 10"/>
    <w:qFormat/>
    <w:rPr>
      <w:rFonts w:ascii="Arial" w:hAnsi="Arial" w:cs="Arial"/>
      <w:b/>
      <w:sz w:val="24"/>
      <w:lang w:val="es-ES" w:eastAsia="es-AR"/>
    </w:rPr>
  </w:style>
  <w:style w:type="character" w:styleId="ListLabel11">
    <w:name w:val="ListLabel 11"/>
    <w:qFormat/>
    <w:rPr>
      <w:rFonts w:ascii="Arial" w:hAnsi="Arial" w:eastAsia="Calibri" w:cs="Arial"/>
      <w:b/>
      <w:sz w:val="24"/>
      <w:szCs w:val="22"/>
      <w:lang w:val="es-ES" w:eastAsia="es-AR"/>
    </w:rPr>
  </w:style>
  <w:style w:type="character" w:styleId="ListLabel12">
    <w:name w:val="ListLabel 12"/>
    <w:qFormat/>
    <w:rPr>
      <w:rFonts w:ascii="Arial" w:hAnsi="Arial" w:cs="Arial"/>
      <w:b/>
      <w:sz w:val="24"/>
      <w:lang w:val="es-ES" w:eastAsia="es-AR"/>
    </w:rPr>
  </w:style>
  <w:style w:type="character" w:styleId="ListLabel13">
    <w:name w:val="ListLabel 13"/>
    <w:qFormat/>
    <w:rPr>
      <w:rFonts w:ascii="Arial" w:hAnsi="Arial" w:eastAsia="Calibri" w:cs="Arial"/>
      <w:b/>
      <w:sz w:val="24"/>
      <w:szCs w:val="22"/>
      <w:lang w:val="es-ES" w:eastAsia="es-AR"/>
    </w:rPr>
  </w:style>
  <w:style w:type="character" w:styleId="ListLabel14">
    <w:name w:val="ListLabel 14"/>
    <w:qFormat/>
    <w:rPr>
      <w:rFonts w:ascii="Arial" w:hAnsi="Arial" w:cs="Arial"/>
      <w:b/>
      <w:sz w:val="24"/>
      <w:lang w:val="es-ES" w:eastAsia="es-AR"/>
    </w:rPr>
  </w:style>
  <w:style w:type="character" w:styleId="ListLabel15">
    <w:name w:val="ListLabel 15"/>
    <w:qFormat/>
    <w:rPr>
      <w:rFonts w:ascii="Arial" w:hAnsi="Arial" w:eastAsia="Calibri" w:cs="Arial"/>
      <w:b/>
      <w:sz w:val="24"/>
      <w:szCs w:val="22"/>
      <w:lang w:val="es-ES" w:eastAsia="es-AR"/>
    </w:rPr>
  </w:style>
  <w:style w:type="character" w:styleId="ListLabel16">
    <w:name w:val="ListLabel 16"/>
    <w:qFormat/>
    <w:rPr>
      <w:rFonts w:ascii="Arial" w:hAnsi="Arial" w:cs="Arial"/>
      <w:b/>
      <w:sz w:val="24"/>
      <w:lang w:val="es-ES" w:eastAsia="es-AR"/>
    </w:rPr>
  </w:style>
  <w:style w:type="character" w:styleId="ListLabel17">
    <w:name w:val="ListLabel 17"/>
    <w:qFormat/>
    <w:rPr>
      <w:rFonts w:ascii="Arial" w:hAnsi="Arial" w:eastAsia="Calibri" w:cs="Arial"/>
      <w:b/>
      <w:sz w:val="24"/>
      <w:szCs w:val="22"/>
      <w:lang w:val="es-ES" w:eastAsia="es-AR"/>
    </w:rPr>
  </w:style>
  <w:style w:type="character" w:styleId="ListLabel18">
    <w:name w:val="ListLabel 18"/>
    <w:qFormat/>
    <w:rPr>
      <w:rFonts w:ascii="Arial" w:hAnsi="Arial" w:cs="Arial"/>
      <w:b/>
      <w:sz w:val="24"/>
      <w:lang w:val="es-ES" w:eastAsia="es-AR"/>
    </w:rPr>
  </w:style>
  <w:style w:type="character" w:styleId="ListLabel19">
    <w:name w:val="ListLabel 19"/>
    <w:qFormat/>
    <w:rPr>
      <w:rFonts w:ascii="Arial" w:hAnsi="Arial" w:eastAsia="Calibri" w:cs="Arial"/>
      <w:b/>
      <w:sz w:val="24"/>
      <w:szCs w:val="22"/>
      <w:lang w:val="es-ES" w:eastAsia="es-AR"/>
    </w:rPr>
  </w:style>
  <w:style w:type="character" w:styleId="ListLabel20">
    <w:name w:val="ListLabel 20"/>
    <w:qFormat/>
    <w:rPr>
      <w:rFonts w:ascii="Arial" w:hAnsi="Arial" w:cs="Arial"/>
      <w:b/>
      <w:sz w:val="24"/>
      <w:lang w:val="es-ES" w:eastAsia="es-AR"/>
    </w:rPr>
  </w:style>
  <w:style w:type="character" w:styleId="ListLabel21">
    <w:name w:val="ListLabel 21"/>
    <w:qFormat/>
    <w:rPr>
      <w:rFonts w:ascii="Arial" w:hAnsi="Arial" w:eastAsia="Calibri" w:cs="Arial"/>
      <w:b/>
      <w:sz w:val="24"/>
      <w:szCs w:val="22"/>
      <w:lang w:val="es-ES" w:eastAsia="es-AR"/>
    </w:rPr>
  </w:style>
  <w:style w:type="character" w:styleId="ListLabel22">
    <w:name w:val="ListLabel 22"/>
    <w:qFormat/>
    <w:rPr>
      <w:rFonts w:ascii="Arial" w:hAnsi="Arial" w:cs="Arial"/>
      <w:b/>
      <w:sz w:val="24"/>
      <w:lang w:val="es-ES" w:eastAsia="es-AR"/>
    </w:rPr>
  </w:style>
  <w:style w:type="character" w:styleId="ListLabel23">
    <w:name w:val="ListLabel 23"/>
    <w:qFormat/>
    <w:rPr>
      <w:rFonts w:ascii="Arial" w:hAnsi="Arial" w:eastAsia="Calibri" w:cs="Arial"/>
      <w:b/>
      <w:sz w:val="24"/>
      <w:szCs w:val="22"/>
      <w:lang w:val="es-ES" w:eastAsia="es-AR"/>
    </w:rPr>
  </w:style>
  <w:style w:type="character" w:styleId="ListLabel24">
    <w:name w:val="ListLabel 24"/>
    <w:qFormat/>
    <w:rPr>
      <w:rFonts w:ascii="Arial" w:hAnsi="Arial" w:cs="Arial"/>
      <w:b/>
      <w:sz w:val="24"/>
      <w:lang w:val="es-ES" w:eastAsia="es-AR"/>
    </w:rPr>
  </w:style>
  <w:style w:type="character" w:styleId="ListLabel25">
    <w:name w:val="ListLabel 25"/>
    <w:qFormat/>
    <w:rPr>
      <w:rFonts w:ascii="Arial" w:hAnsi="Arial" w:eastAsia="Calibri" w:cs="Arial"/>
      <w:b/>
      <w:sz w:val="24"/>
      <w:szCs w:val="22"/>
      <w:lang w:val="es-ES" w:eastAsia="es-AR"/>
    </w:rPr>
  </w:style>
  <w:style w:type="character" w:styleId="ListLabel26">
    <w:name w:val="ListLabel 26"/>
    <w:qFormat/>
    <w:rPr>
      <w:rFonts w:ascii="Arial" w:hAnsi="Arial" w:cs="Arial"/>
      <w:b/>
      <w:sz w:val="24"/>
      <w:lang w:val="es-ES" w:eastAsia="es-AR"/>
    </w:rPr>
  </w:style>
  <w:style w:type="character" w:styleId="ListLabel27">
    <w:name w:val="ListLabel 27"/>
    <w:qFormat/>
    <w:rPr>
      <w:rFonts w:ascii="Arial" w:hAnsi="Arial" w:eastAsia="Calibri" w:cs="Arial"/>
      <w:b/>
      <w:sz w:val="28"/>
      <w:szCs w:val="22"/>
      <w:lang w:val="es-ES" w:eastAsia="es-AR"/>
    </w:rPr>
  </w:style>
  <w:style w:type="character" w:styleId="ListLabel28">
    <w:name w:val="ListLabel 28"/>
    <w:qFormat/>
    <w:rPr>
      <w:rFonts w:ascii="Arial" w:hAnsi="Arial" w:cs="Arial"/>
      <w:b/>
      <w:sz w:val="24"/>
      <w:lang w:val="es-ES" w:eastAsia="es-AR"/>
    </w:rPr>
  </w:style>
  <w:style w:type="character" w:styleId="ListLabel29">
    <w:name w:val="ListLabel 29"/>
    <w:qFormat/>
    <w:rPr>
      <w:rFonts w:ascii="Arial" w:hAnsi="Arial" w:eastAsia="Calibri" w:cs="Arial"/>
      <w:b/>
      <w:sz w:val="28"/>
      <w:szCs w:val="22"/>
      <w:lang w:val="es-ES" w:eastAsia="es-AR"/>
    </w:rPr>
  </w:style>
  <w:style w:type="character" w:styleId="ListLabel30">
    <w:name w:val="ListLabel 30"/>
    <w:qFormat/>
    <w:rPr>
      <w:rFonts w:ascii="Arial" w:hAnsi="Arial" w:cs="Arial"/>
      <w:b/>
      <w:sz w:val="24"/>
      <w:lang w:val="es-ES" w:eastAsia="es-AR"/>
    </w:rPr>
  </w:style>
  <w:style w:type="character" w:styleId="ListLabel31">
    <w:name w:val="ListLabel 31"/>
    <w:qFormat/>
    <w:rPr>
      <w:rFonts w:ascii="Arial" w:hAnsi="Arial" w:eastAsia="Calibri" w:cs="Arial"/>
      <w:b/>
      <w:sz w:val="28"/>
      <w:szCs w:val="22"/>
      <w:lang w:val="es-ES" w:eastAsia="es-AR"/>
    </w:rPr>
  </w:style>
  <w:style w:type="character" w:styleId="ListLabel32">
    <w:name w:val="ListLabel 32"/>
    <w:qFormat/>
    <w:rPr>
      <w:rFonts w:ascii="Arial" w:hAnsi="Arial" w:cs="Arial"/>
      <w:b/>
      <w:sz w:val="24"/>
      <w:lang w:val="es-ES" w:eastAsia="es-AR"/>
    </w:rPr>
  </w:style>
  <w:style w:type="character" w:styleId="ListLabel33">
    <w:name w:val="ListLabel 33"/>
    <w:qFormat/>
    <w:rPr>
      <w:rFonts w:ascii="Arial" w:hAnsi="Arial" w:eastAsia="Calibri" w:cs="Arial"/>
      <w:b/>
      <w:sz w:val="28"/>
      <w:szCs w:val="22"/>
      <w:lang w:val="es-ES" w:eastAsia="es-AR"/>
    </w:rPr>
  </w:style>
  <w:style w:type="character" w:styleId="ListLabel34">
    <w:name w:val="ListLabel 34"/>
    <w:qFormat/>
    <w:rPr>
      <w:rFonts w:cs="Arial"/>
      <w:b/>
      <w:sz w:val="24"/>
      <w:lang w:val="es-ES" w:eastAsia="es-AR"/>
    </w:rPr>
  </w:style>
  <w:style w:type="character" w:styleId="ListLabel35">
    <w:name w:val="ListLabel 35"/>
    <w:qFormat/>
    <w:rPr>
      <w:rFonts w:eastAsia="Calibri" w:cs="Arial"/>
      <w:b/>
      <w:sz w:val="28"/>
      <w:szCs w:val="22"/>
      <w:lang w:val="es-ES" w:eastAsia="es-AR"/>
    </w:rPr>
  </w:style>
  <w:style w:type="character" w:styleId="ListLabel36">
    <w:name w:val="ListLabel 36"/>
    <w:qFormat/>
    <w:rPr>
      <w:rFonts w:ascii="Arial" w:hAnsi="Arial" w:cs="Arial"/>
      <w:b/>
      <w:sz w:val="24"/>
      <w:lang w:val="es-ES" w:eastAsia="es-AR"/>
    </w:rPr>
  </w:style>
  <w:style w:type="character" w:styleId="ListLabel37">
    <w:name w:val="ListLabel 37"/>
    <w:qFormat/>
    <w:rPr>
      <w:rFonts w:ascii="Arial" w:hAnsi="Arial" w:eastAsia="Calibri" w:cs="Arial"/>
      <w:b/>
      <w:sz w:val="28"/>
      <w:szCs w:val="22"/>
      <w:lang w:val="es-ES" w:eastAsia="es-AR"/>
    </w:rPr>
  </w:style>
  <w:style w:type="character" w:styleId="ListLabel38">
    <w:name w:val="ListLabel 38"/>
    <w:qFormat/>
    <w:rPr>
      <w:rFonts w:ascii="Arial" w:hAnsi="Arial" w:cs="Arial"/>
      <w:b/>
      <w:sz w:val="24"/>
      <w:lang w:val="es-ES" w:eastAsia="es-AR"/>
    </w:rPr>
  </w:style>
  <w:style w:type="character" w:styleId="ListLabel39">
    <w:name w:val="ListLabel 39"/>
    <w:qFormat/>
    <w:rPr>
      <w:rFonts w:ascii="Arial" w:hAnsi="Arial" w:eastAsia="Calibri" w:cs="Arial"/>
      <w:b/>
      <w:sz w:val="28"/>
      <w:szCs w:val="22"/>
      <w:lang w:val="es-ES" w:eastAsia="es-AR"/>
    </w:rPr>
  </w:style>
  <w:style w:type="character" w:styleId="ListLabel40">
    <w:name w:val="ListLabel 40"/>
    <w:qFormat/>
    <w:rPr>
      <w:rFonts w:ascii="Arial" w:hAnsi="Arial" w:cs="Arial"/>
      <w:b/>
      <w:sz w:val="24"/>
      <w:lang w:val="es-ES" w:eastAsia="es-AR"/>
    </w:rPr>
  </w:style>
  <w:style w:type="character" w:styleId="ListLabel41">
    <w:name w:val="ListLabel 41"/>
    <w:qFormat/>
    <w:rPr>
      <w:rFonts w:ascii="Arial" w:hAnsi="Arial" w:eastAsia="Calibri" w:cs="Arial"/>
      <w:b/>
      <w:sz w:val="28"/>
      <w:szCs w:val="22"/>
      <w:lang w:val="es-ES" w:eastAsia="es-AR"/>
    </w:rPr>
  </w:style>
  <w:style w:type="character" w:styleId="ListLabel42">
    <w:name w:val="ListLabel 42"/>
    <w:qFormat/>
    <w:rPr>
      <w:rFonts w:ascii="Arial" w:hAnsi="Arial" w:cs="Arial"/>
      <w:b/>
      <w:sz w:val="24"/>
      <w:lang w:val="es-ES" w:eastAsia="es-AR"/>
    </w:rPr>
  </w:style>
  <w:style w:type="character" w:styleId="ListLabel43">
    <w:name w:val="ListLabel 43"/>
    <w:qFormat/>
    <w:rPr>
      <w:rFonts w:ascii="Arial" w:hAnsi="Arial" w:eastAsia="Calibri" w:cs="Arial"/>
      <w:b/>
      <w:sz w:val="28"/>
      <w:szCs w:val="22"/>
      <w:lang w:val="es-ES" w:eastAsia="es-AR"/>
    </w:rPr>
  </w:style>
  <w:style w:type="character" w:styleId="ListLabel44">
    <w:name w:val="ListLabel 44"/>
    <w:qFormat/>
    <w:rPr>
      <w:rFonts w:ascii="Arial" w:hAnsi="Arial" w:cs="Arial"/>
      <w:b/>
      <w:sz w:val="24"/>
      <w:lang w:val="es-ES" w:eastAsia="es-AR"/>
    </w:rPr>
  </w:style>
  <w:style w:type="character" w:styleId="ListLabel45">
    <w:name w:val="ListLabel 45"/>
    <w:qFormat/>
    <w:rPr>
      <w:rFonts w:ascii="Arial" w:hAnsi="Arial" w:eastAsia="Calibri" w:cs="Arial"/>
      <w:b/>
      <w:sz w:val="28"/>
      <w:szCs w:val="22"/>
      <w:lang w:val="es-ES" w:eastAsia="es-AR"/>
    </w:rPr>
  </w:style>
  <w:style w:type="character" w:styleId="ListLabel46">
    <w:name w:val="ListLabel 46"/>
    <w:qFormat/>
    <w:rPr>
      <w:rFonts w:ascii="Arial" w:hAnsi="Arial" w:cs="Arial"/>
      <w:b/>
      <w:sz w:val="24"/>
      <w:lang w:val="es-ES" w:eastAsia="es-AR"/>
    </w:rPr>
  </w:style>
  <w:style w:type="character" w:styleId="ListLabel47">
    <w:name w:val="ListLabel 47"/>
    <w:qFormat/>
    <w:rPr>
      <w:rFonts w:ascii="Arial" w:hAnsi="Arial" w:eastAsia="Calibri" w:cs="Arial"/>
      <w:b/>
      <w:sz w:val="28"/>
      <w:szCs w:val="22"/>
      <w:lang w:val="es-ES" w:eastAsia="es-AR"/>
    </w:rPr>
  </w:style>
  <w:style w:type="character" w:styleId="ListLabel48">
    <w:name w:val="ListLabel 48"/>
    <w:qFormat/>
    <w:rPr>
      <w:rFonts w:ascii="Arial" w:hAnsi="Arial" w:cs="Arial"/>
      <w:b/>
      <w:sz w:val="24"/>
      <w:lang w:val="es-ES" w:eastAsia="es-AR"/>
    </w:rPr>
  </w:style>
  <w:style w:type="character" w:styleId="ListLabel49">
    <w:name w:val="ListLabel 49"/>
    <w:qFormat/>
    <w:rPr>
      <w:rFonts w:ascii="Arial" w:hAnsi="Arial" w:eastAsia="Calibri" w:cs="Arial"/>
      <w:b/>
      <w:sz w:val="28"/>
      <w:szCs w:val="22"/>
      <w:lang w:val="es-ES" w:eastAsia="es-AR"/>
    </w:rPr>
  </w:style>
  <w:style w:type="character" w:styleId="ListLabel50">
    <w:name w:val="ListLabel 50"/>
    <w:qFormat/>
    <w:rPr>
      <w:rFonts w:ascii="Arial" w:hAnsi="Arial" w:cs="Arial"/>
      <w:b/>
      <w:sz w:val="24"/>
      <w:lang w:val="es-ES" w:eastAsia="es-AR"/>
    </w:rPr>
  </w:style>
  <w:style w:type="character" w:styleId="ListLabel51">
    <w:name w:val="ListLabel 51"/>
    <w:qFormat/>
    <w:rPr>
      <w:rFonts w:ascii="Arial" w:hAnsi="Arial" w:eastAsia="Calibri" w:cs="Arial"/>
      <w:b/>
      <w:sz w:val="28"/>
      <w:szCs w:val="22"/>
      <w:lang w:val="es-ES" w:eastAsia="es-AR"/>
    </w:rPr>
  </w:style>
  <w:style w:type="character" w:styleId="ListLabel52">
    <w:name w:val="ListLabel 52"/>
    <w:qFormat/>
    <w:rPr>
      <w:rFonts w:ascii="Arial" w:hAnsi="Arial" w:cs="Arial"/>
      <w:b/>
      <w:sz w:val="24"/>
      <w:lang w:val="es-ES" w:eastAsia="es-AR"/>
    </w:rPr>
  </w:style>
  <w:style w:type="character" w:styleId="ListLabel53">
    <w:name w:val="ListLabel 53"/>
    <w:qFormat/>
    <w:rPr>
      <w:rFonts w:ascii="Arial" w:hAnsi="Arial" w:eastAsia="Calibri" w:cs="Arial"/>
      <w:b/>
      <w:sz w:val="28"/>
      <w:szCs w:val="22"/>
      <w:lang w:val="es-ES" w:eastAsia="es-AR"/>
    </w:rPr>
  </w:style>
  <w:style w:type="character" w:styleId="ListLabel54">
    <w:name w:val="ListLabel 54"/>
    <w:qFormat/>
    <w:rPr>
      <w:rFonts w:cs="Arial"/>
      <w:b/>
      <w:sz w:val="24"/>
      <w:lang w:val="es-ES" w:eastAsia="es-AR"/>
    </w:rPr>
  </w:style>
  <w:style w:type="character" w:styleId="ListLabel55">
    <w:name w:val="ListLabel 55"/>
    <w:qFormat/>
    <w:rPr>
      <w:rFonts w:cs="Arial"/>
      <w:b/>
      <w:sz w:val="24"/>
      <w:lang w:val="es-ES" w:eastAsia="es-AR"/>
    </w:rPr>
  </w:style>
  <w:style w:type="paragraph" w:styleId="Encabezado">
    <w:name w:val="Encabezado"/>
    <w:basedOn w:val="Normal"/>
    <w:next w:val="Cuerpodetexto"/>
    <w:qFormat/>
    <w:pPr>
      <w:jc w:val="center"/>
    </w:pPr>
    <w:rPr>
      <w:b/>
      <w:sz w:val="32"/>
      <w:lang w:val="es-ES"/>
    </w:rPr>
  </w:style>
  <w:style w:type="paragraph" w:styleId="Cuerpodetexto">
    <w:name w:val="Cuerpo de texto"/>
    <w:basedOn w:val="Normal"/>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color w:val="FF0000"/>
      <w:sz w:val="22"/>
      <w:lang w:val="es-ES"/>
    </w:rPr>
  </w:style>
  <w:style w:type="paragraph" w:styleId="Lista">
    <w:name w:val="Lista"/>
    <w:basedOn w:val="Cuerpodetexto"/>
    <w:pPr/>
    <w:rPr>
      <w:rFonts w:cs="FreeSans"/>
    </w:rPr>
  </w:style>
  <w:style w:type="paragraph" w:styleId="Leyenda">
    <w:name w:val="Leyenda"/>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extoindependiente2">
    <w:name w:val="Texto independiente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sz w:val="24"/>
      <w:lang w:val="es-ES"/>
    </w:rPr>
  </w:style>
  <w:style w:type="paragraph" w:styleId="Textoindependiente3">
    <w:name w:val="Texto independiente 3"/>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pPr>
    <w:rPr>
      <w:lang w:val="es-ES"/>
    </w:rPr>
  </w:style>
  <w:style w:type="paragraph" w:styleId="Textodeglobo">
    <w:name w:val="Texto de globo"/>
    <w:basedOn w:val="Normal"/>
    <w:qFormat/>
    <w:pPr/>
    <w:rPr>
      <w:rFonts w:ascii="Tahoma" w:hAnsi="Tahoma" w:cs="Tahoma"/>
      <w:sz w:val="16"/>
      <w:szCs w:val="16"/>
      <w:lang w:val="es-AR"/>
    </w:rPr>
  </w:style>
  <w:style w:type="paragraph" w:styleId="Prrafodelista">
    <w:name w:val="Párrafo de lista"/>
    <w:basedOn w:val="Normal"/>
    <w:qFormat/>
    <w:pPr>
      <w:ind w:left="708" w:right="0" w:hanging="0"/>
    </w:pPr>
    <w:rPr/>
  </w:style>
  <w:style w:type="paragraph" w:styleId="Contenidodelmarco">
    <w:name w:val="Contenido del marco"/>
    <w:basedOn w:val="Normal"/>
    <w:qFormat/>
    <w:pPr/>
    <w:rPr/>
  </w:style>
  <w:style w:type="paragraph" w:styleId="Contenidodelatabla">
    <w:name w:val="Contenido de la tabla"/>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304</TotalTime>
  <Application>LibreOffice/5.0.3.2$Linux_x86 LibreOffice_project/00m0$Build-2</Application>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2016-10-04T11:51:00Z</dcterms:created>
  <dc:creator>Cristian Salguero</dc:creator>
  <dc:language>es-AR</dc:language>
  <cp:lastModifiedBy>lvetorello </cp:lastModifiedBy>
  <cp:lastPrinted>2017-11-03T08:56:50Z</cp:lastPrinted>
  <dcterms:modified xsi:type="dcterms:W3CDTF">2017-11-03T08:58:09Z</dcterms:modified>
  <cp:revision>35</cp:revision>
  <dc:title>AEROPUERTO INTERNACIONAL ROSARIO</dc:title>
</cp:coreProperties>
</file>