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i/>
          <w:i/>
          <w:sz w:val="24"/>
          <w:szCs w:val="24"/>
        </w:rPr>
      </w:pPr>
      <w:r>
        <w:rPr/>
      </w:r>
    </w:p>
    <w:p>
      <w:pPr>
        <w:pStyle w:val="Normal"/>
        <w:jc w:val="both"/>
        <w:rPr>
          <w:rFonts w:ascii="Book Antiqua" w:hAnsi="Book Antiqua"/>
          <w:b/>
          <w:b/>
          <w:i/>
          <w:i/>
          <w:sz w:val="24"/>
          <w:szCs w:val="24"/>
        </w:rPr>
      </w:pPr>
      <w:r>
        <w:rPr>
          <w:rFonts w:ascii="Arial" w:hAnsi="Arial"/>
          <w:b/>
          <w:i/>
          <w:color w:val="000000" w:themeColor="text1"/>
          <w:sz w:val="24"/>
          <w:szCs w:val="24"/>
          <w:u w:val="single"/>
        </w:rPr>
        <w:t>Asunto:</w:t>
      </w:r>
      <w:r>
        <w:rPr>
          <w:rFonts w:ascii="Arial" w:hAnsi="Arial"/>
          <w:b/>
          <w:i/>
          <w:color w:val="000000" w:themeColor="text1"/>
          <w:sz w:val="24"/>
          <w:szCs w:val="24"/>
        </w:rPr>
        <w:t xml:space="preserve"> </w:t>
      </w:r>
      <w:r>
        <w:rPr>
          <w:rFonts w:ascii="Arial" w:hAnsi="Arial"/>
          <w:b/>
          <w:i/>
          <w:sz w:val="24"/>
          <w:szCs w:val="24"/>
        </w:rPr>
        <w:t>Devolución de garantías</w:t>
      </w:r>
    </w:p>
    <w:p>
      <w:pPr>
        <w:pStyle w:val="Normal"/>
        <w:jc w:val="both"/>
        <w:rPr>
          <w:rFonts w:ascii="Book Antiqua" w:hAnsi="Book Antiqua"/>
          <w:i/>
          <w:i/>
          <w:sz w:val="24"/>
          <w:szCs w:val="24"/>
        </w:rPr>
      </w:pPr>
      <w:r>
        <w:rPr>
          <w:rFonts w:ascii="Arial" w:hAnsi="Arial"/>
          <w:i/>
          <w:sz w:val="24"/>
          <w:szCs w:val="24"/>
        </w:rPr>
        <w:t>Estimados Oferentes:</w:t>
      </w:r>
    </w:p>
    <w:p>
      <w:pPr>
        <w:pStyle w:val="Normal"/>
        <w:jc w:val="both"/>
        <w:rPr>
          <w:rFonts w:ascii="Book Antiqua" w:hAnsi="Book Antiqua"/>
          <w:i/>
          <w:i/>
          <w:sz w:val="24"/>
          <w:szCs w:val="24"/>
        </w:rPr>
      </w:pPr>
      <w:r>
        <w:rPr>
          <w:rFonts w:ascii="Arial" w:hAnsi="Arial"/>
          <w:i/>
          <w:sz w:val="24"/>
          <w:szCs w:val="24"/>
        </w:rPr>
        <w:t>La devolución de las garantías efectuadas deberá ser solicitada de la siguiente forma:</w:t>
      </w:r>
    </w:p>
    <w:p>
      <w:pPr>
        <w:pStyle w:val="Normal"/>
        <w:jc w:val="both"/>
        <w:rPr>
          <w:rFonts w:ascii="Book Antiqua" w:hAnsi="Book Antiqua"/>
          <w:i/>
          <w:i/>
          <w:sz w:val="24"/>
          <w:szCs w:val="24"/>
        </w:rPr>
      </w:pPr>
      <w:r>
        <w:rPr>
          <w:rFonts w:ascii="Arial" w:hAnsi="Arial"/>
          <w:i/>
          <w:sz w:val="24"/>
          <w:szCs w:val="24"/>
        </w:rPr>
        <w:t>Presentar una nota dirigida a la Directora General de Administración, solicitando la devolución de la garantía y adjuntando copia del ticket o comprobante de depósito, según el caso que correspondiese deberá hacer referencia al nro de expediente respectivo.  En  el caso de las devoluciones por  transferencia bancaria, se deberá  adjuntar constancia de CBU en original emitida por el banco.</w:t>
      </w:r>
    </w:p>
    <w:p>
      <w:pPr>
        <w:pStyle w:val="Normal"/>
        <w:jc w:val="both"/>
        <w:rPr>
          <w:rFonts w:ascii="Book Antiqua" w:hAnsi="Book Antiqua"/>
          <w:i/>
          <w:i/>
          <w:sz w:val="24"/>
          <w:szCs w:val="24"/>
        </w:rPr>
      </w:pPr>
      <w:r>
        <w:rPr>
          <w:rFonts w:ascii="Arial" w:hAnsi="Arial"/>
          <w:i/>
          <w:sz w:val="24"/>
          <w:szCs w:val="24"/>
        </w:rPr>
        <w:t>La mencionada nota deberá ser entregada en la oficina de Despacho del Aeropuerto de Rosario, en el rango de 7.00 a 14.00 hs.</w:t>
      </w:r>
    </w:p>
    <w:p>
      <w:pPr>
        <w:pStyle w:val="Normal"/>
        <w:jc w:val="both"/>
        <w:rPr>
          <w:rFonts w:ascii="Book Antiqua" w:hAnsi="Book Antiqua"/>
          <w:i/>
          <w:i/>
          <w:sz w:val="24"/>
          <w:szCs w:val="24"/>
        </w:rPr>
      </w:pPr>
      <w:r>
        <w:rPr>
          <w:rFonts w:ascii="Arial" w:hAnsi="Arial"/>
          <w:i/>
          <w:sz w:val="24"/>
          <w:szCs w:val="24"/>
        </w:rPr>
        <w:t>Los plazos para solicitar la devolución de las garantías son los siguientes:</w:t>
      </w:r>
    </w:p>
    <w:p>
      <w:pPr>
        <w:pStyle w:val="Normal"/>
        <w:jc w:val="both"/>
        <w:rPr>
          <w:rFonts w:ascii="Book Antiqua" w:hAnsi="Book Antiqua"/>
          <w:i/>
          <w:i/>
          <w:sz w:val="24"/>
          <w:szCs w:val="24"/>
        </w:rPr>
      </w:pPr>
      <w:r>
        <w:rPr>
          <w:rFonts w:ascii="Arial" w:hAnsi="Arial"/>
          <w:i/>
          <w:sz w:val="24"/>
          <w:szCs w:val="24"/>
        </w:rPr>
        <w:t xml:space="preserve"> </w:t>
      </w:r>
      <w:r>
        <w:rPr>
          <w:rFonts w:ascii="Arial" w:hAnsi="Arial"/>
          <w:i/>
          <w:sz w:val="24"/>
          <w:szCs w:val="24"/>
        </w:rPr>
        <w:t>(Referencia: Decreto Provincial nro 1104 con fecha mayo 2016)</w:t>
      </w:r>
    </w:p>
    <w:p>
      <w:pPr>
        <w:pStyle w:val="Normal"/>
        <w:jc w:val="both"/>
        <w:rPr>
          <w:rFonts w:ascii="Arial" w:hAnsi="Arial"/>
          <w:i/>
          <w:i/>
          <w:sz w:val="24"/>
          <w:szCs w:val="24"/>
        </w:rPr>
      </w:pPr>
      <w:r>
        <w:rPr>
          <w:rFonts w:ascii="Arial" w:hAnsi="Arial"/>
          <w:i/>
          <w:sz w:val="24"/>
          <w:szCs w:val="24"/>
        </w:rPr>
      </w:r>
    </w:p>
    <w:p>
      <w:pPr>
        <w:pStyle w:val="Normal"/>
        <w:jc w:val="both"/>
        <w:rPr>
          <w:rFonts w:ascii="Book Antiqua" w:hAnsi="Book Antiqua"/>
          <w:i/>
          <w:i/>
          <w:sz w:val="24"/>
          <w:szCs w:val="24"/>
        </w:rPr>
      </w:pPr>
      <w:r>
        <w:rPr>
          <w:rFonts w:ascii="Arial" w:hAnsi="Arial"/>
          <w:i/>
          <w:sz w:val="24"/>
          <w:szCs w:val="24"/>
        </w:rPr>
        <w:t>1-</w:t>
      </w:r>
      <w:r>
        <w:rPr>
          <w:rFonts w:ascii="Arial" w:hAnsi="Arial"/>
          <w:b/>
          <w:i/>
          <w:sz w:val="24"/>
          <w:szCs w:val="24"/>
          <w:u w:val="single"/>
        </w:rPr>
        <w:t>GARANTÍA MANTENIMIENTO DE OFERTA:</w:t>
      </w:r>
    </w:p>
    <w:p>
      <w:pPr>
        <w:pStyle w:val="ListParagraph"/>
        <w:numPr>
          <w:ilvl w:val="0"/>
          <w:numId w:val="1"/>
        </w:numPr>
        <w:jc w:val="both"/>
        <w:rPr>
          <w:rFonts w:ascii="Book Antiqua" w:hAnsi="Book Antiqua"/>
          <w:i/>
          <w:i/>
          <w:sz w:val="24"/>
          <w:szCs w:val="24"/>
        </w:rPr>
      </w:pPr>
      <w:r>
        <w:rPr>
          <w:rFonts w:ascii="Arial" w:hAnsi="Arial"/>
          <w:i/>
          <w:sz w:val="24"/>
          <w:szCs w:val="24"/>
        </w:rPr>
        <w:t>A los oferentes que no resultaren adjudicatarios, una vez que la adjudicación resulte firme (mediante resolución).</w:t>
      </w:r>
    </w:p>
    <w:p>
      <w:pPr>
        <w:pStyle w:val="ListParagraph"/>
        <w:numPr>
          <w:ilvl w:val="0"/>
          <w:numId w:val="1"/>
        </w:numPr>
        <w:jc w:val="both"/>
        <w:rPr>
          <w:rFonts w:ascii="Book Antiqua" w:hAnsi="Book Antiqua"/>
          <w:i/>
          <w:i/>
          <w:sz w:val="24"/>
          <w:szCs w:val="24"/>
        </w:rPr>
      </w:pPr>
      <w:r>
        <w:rPr>
          <w:rFonts w:ascii="Arial" w:hAnsi="Arial"/>
          <w:i/>
          <w:sz w:val="24"/>
          <w:szCs w:val="24"/>
        </w:rPr>
        <w:t>A los adjudicatarios, una vez integrada la garantía de fiel cumplimiento del contrato, o en su caso de cumplida la orden de compra y en forma proporcional a la parte ya cumplida de contrato.</w:t>
      </w:r>
    </w:p>
    <w:p>
      <w:pPr>
        <w:pStyle w:val="Normal"/>
        <w:jc w:val="both"/>
        <w:rPr>
          <w:rFonts w:ascii="Book Antiqua" w:hAnsi="Book Antiqua"/>
          <w:i/>
          <w:i/>
          <w:sz w:val="24"/>
          <w:szCs w:val="24"/>
        </w:rPr>
      </w:pPr>
      <w:r>
        <w:rPr>
          <w:rFonts w:ascii="Arial" w:hAnsi="Arial"/>
          <w:b/>
          <w:i/>
          <w:sz w:val="24"/>
          <w:szCs w:val="24"/>
        </w:rPr>
        <w:t>2-</w:t>
      </w:r>
      <w:r>
        <w:rPr>
          <w:rFonts w:ascii="Arial" w:hAnsi="Arial"/>
          <w:i/>
          <w:sz w:val="24"/>
          <w:szCs w:val="24"/>
        </w:rPr>
        <w:t xml:space="preserve"> </w:t>
      </w:r>
      <w:r>
        <w:rPr>
          <w:rFonts w:ascii="Arial" w:hAnsi="Arial"/>
          <w:b/>
          <w:i/>
          <w:sz w:val="24"/>
          <w:szCs w:val="24"/>
          <w:u w:val="single"/>
        </w:rPr>
        <w:t>GARANTÍAS DE FIEL CUMPLIMIENTO</w:t>
      </w:r>
    </w:p>
    <w:p>
      <w:pPr>
        <w:pStyle w:val="ListParagraph"/>
        <w:numPr>
          <w:ilvl w:val="0"/>
          <w:numId w:val="1"/>
        </w:numPr>
        <w:jc w:val="both"/>
        <w:rPr>
          <w:rFonts w:ascii="Book Antiqua" w:hAnsi="Book Antiqua"/>
          <w:i/>
          <w:i/>
          <w:sz w:val="24"/>
          <w:szCs w:val="24"/>
        </w:rPr>
      </w:pPr>
      <w:r>
        <w:rPr>
          <w:rFonts w:ascii="Arial" w:hAnsi="Arial"/>
          <w:i/>
          <w:sz w:val="24"/>
          <w:szCs w:val="24"/>
        </w:rPr>
        <w:t>Las garantías de fiel cumplimiento, una vez que se encuentre efectuada la recepción definitiva del bien, obra o servicio.</w:t>
      </w:r>
    </w:p>
    <w:p>
      <w:pPr>
        <w:pStyle w:val="ListParagraph"/>
        <w:ind w:left="1440" w:hanging="0"/>
        <w:jc w:val="both"/>
        <w:rPr>
          <w:rFonts w:ascii="Arial" w:hAnsi="Arial"/>
          <w:i/>
          <w:i/>
          <w:sz w:val="24"/>
          <w:szCs w:val="24"/>
        </w:rPr>
      </w:pPr>
      <w:r>
        <w:rPr>
          <w:rFonts w:ascii="Arial" w:hAnsi="Arial"/>
          <w:i/>
          <w:sz w:val="24"/>
          <w:szCs w:val="24"/>
        </w:rPr>
      </w:r>
    </w:p>
    <w:p>
      <w:pPr>
        <w:pStyle w:val="ListParagraph"/>
        <w:ind w:left="1440" w:hanging="0"/>
        <w:jc w:val="both"/>
        <w:rPr>
          <w:rFonts w:ascii="Book Antiqua" w:hAnsi="Book Antiqua"/>
          <w:i/>
          <w:i/>
          <w:sz w:val="24"/>
          <w:szCs w:val="24"/>
        </w:rPr>
      </w:pPr>
      <w:r>
        <w:rPr>
          <w:rFonts w:ascii="Arial" w:hAnsi="Arial"/>
          <w:b/>
          <w:i/>
          <w:sz w:val="24"/>
          <w:szCs w:val="24"/>
        </w:rPr>
        <w:t xml:space="preserve">3- </w:t>
      </w:r>
      <w:r>
        <w:rPr>
          <w:rFonts w:ascii="Arial" w:hAnsi="Arial"/>
          <w:b/>
          <w:i/>
          <w:sz w:val="24"/>
          <w:szCs w:val="24"/>
          <w:u w:val="single"/>
        </w:rPr>
        <w:t>GARANTÍA DE IMPUGNACIÓN</w:t>
      </w:r>
    </w:p>
    <w:p>
      <w:pPr>
        <w:pStyle w:val="ListParagraph"/>
        <w:numPr>
          <w:ilvl w:val="0"/>
          <w:numId w:val="1"/>
        </w:numPr>
        <w:jc w:val="both"/>
        <w:rPr>
          <w:rFonts w:ascii="Book Antiqua" w:hAnsi="Book Antiqua"/>
          <w:i/>
          <w:i/>
          <w:sz w:val="24"/>
          <w:szCs w:val="24"/>
        </w:rPr>
      </w:pPr>
      <w:r>
        <w:rPr>
          <w:rFonts w:ascii="Arial" w:hAnsi="Arial"/>
          <w:i/>
          <w:sz w:val="24"/>
          <w:szCs w:val="24"/>
        </w:rPr>
        <w:t>Cuando la impugnación fuese declarada procedente.</w:t>
      </w:r>
    </w:p>
    <w:p>
      <w:pPr>
        <w:pStyle w:val="Normal"/>
        <w:jc w:val="both"/>
        <w:rPr>
          <w:rFonts w:ascii="Arial" w:hAnsi="Arial"/>
          <w:i/>
          <w:i/>
          <w:sz w:val="24"/>
          <w:szCs w:val="24"/>
        </w:rPr>
      </w:pPr>
      <w:r>
        <w:rPr>
          <w:rFonts w:ascii="Arial" w:hAnsi="Arial"/>
          <w:i/>
          <w:sz w:val="24"/>
          <w:szCs w:val="24"/>
        </w:rPr>
      </w:r>
    </w:p>
    <w:p>
      <w:pPr>
        <w:pStyle w:val="Normal"/>
        <w:jc w:val="both"/>
        <w:rPr>
          <w:rFonts w:ascii="Arial" w:hAnsi="Arial"/>
          <w:i/>
          <w:i/>
          <w:sz w:val="24"/>
          <w:szCs w:val="24"/>
        </w:rPr>
      </w:pPr>
      <w:r>
        <w:rPr>
          <w:rFonts w:ascii="Arial" w:hAnsi="Arial"/>
          <w:i/>
          <w:sz w:val="24"/>
          <w:szCs w:val="24"/>
        </w:rPr>
      </w:r>
    </w:p>
    <w:p>
      <w:pPr>
        <w:pStyle w:val="Normal"/>
        <w:jc w:val="both"/>
        <w:rPr>
          <w:rFonts w:ascii="Book Antiqua" w:hAnsi="Book Antiqua"/>
          <w:b/>
          <w:b/>
          <w:i/>
          <w:i/>
          <w:sz w:val="24"/>
          <w:szCs w:val="24"/>
          <w:u w:val="single"/>
        </w:rPr>
      </w:pPr>
      <w:r>
        <w:rPr>
          <w:rFonts w:ascii="Arial" w:hAnsi="Arial"/>
          <w:b/>
          <w:i/>
          <w:sz w:val="24"/>
          <w:szCs w:val="24"/>
          <w:u w:val="single"/>
        </w:rPr>
        <w:t>PLAZO DE VENCIMIENTO:</w:t>
      </w:r>
    </w:p>
    <w:p>
      <w:pPr>
        <w:pStyle w:val="Normal"/>
        <w:jc w:val="both"/>
        <w:rPr>
          <w:rFonts w:ascii="Book Antiqua" w:hAnsi="Book Antiqua"/>
          <w:i/>
          <w:i/>
          <w:color w:val="000000" w:themeColor="text1"/>
          <w:sz w:val="24"/>
          <w:szCs w:val="24"/>
        </w:rPr>
      </w:pPr>
      <w:r>
        <w:rPr>
          <w:rFonts w:ascii="Arial" w:hAnsi="Arial"/>
          <w:i/>
          <w:color w:val="000000" w:themeColor="text1"/>
          <w:sz w:val="24"/>
          <w:szCs w:val="24"/>
        </w:rPr>
        <w:t xml:space="preserve"> </w:t>
      </w:r>
      <w:r>
        <w:rPr>
          <w:rFonts w:ascii="Arial" w:hAnsi="Arial"/>
          <w:i/>
          <w:color w:val="000000" w:themeColor="text1"/>
          <w:sz w:val="24"/>
          <w:szCs w:val="24"/>
        </w:rPr>
        <w:t>Los oferentes o adjudicatarios pueden solicitar la devolución de las garantías hasta  el término de un año. Vencido este plazo, el Estado podrá disponer de las mismas, sin derecho a reclamo alguno.</w:t>
      </w:r>
    </w:p>
    <w:p>
      <w:pPr>
        <w:pStyle w:val="Normal"/>
        <w:spacing w:before="0" w:after="160"/>
        <w:rPr/>
      </w:pPr>
      <w:r>
        <w:rPr/>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Book Antiqua">
    <w:charset w:val="01"/>
    <w:family w:val="roman"/>
    <w:pitch w:val="variable"/>
  </w:font>
  <w:font w:name="Liberation Sans">
    <w:altName w:val="Arial"/>
    <w:charset w:val="01"/>
    <w:family w:val="roman"/>
    <w:pitch w:val="variable"/>
  </w:font>
  <w:font w:name="Arial">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Wingdings" w:hAnsi="Wingdings" w:cs="Wingdings" w:hint="default"/>
        <w:sz w:val="24"/>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sz w:val="24"/>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sz w:val="24"/>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sz w:val="24"/>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AR"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c86edf"/>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ascii="Book Antiqua" w:hAnsi="Book Antiqua" w:cs="Wingdings"/>
      <w:sz w:val="24"/>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ascii="Book Antiqua" w:hAnsi="Book Antiqua" w:cs="Wingdings"/>
      <w:sz w:val="24"/>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ascii="Book Antiqua" w:hAnsi="Book Antiqua" w:cs="Wingdings"/>
      <w:sz w:val="24"/>
    </w:rPr>
  </w:style>
  <w:style w:type="character" w:styleId="ListLabel9">
    <w:name w:val="ListLabel 9"/>
    <w:qFormat/>
    <w:rPr>
      <w:rFonts w:cs="Courier New"/>
    </w:rPr>
  </w:style>
  <w:style w:type="character" w:styleId="ListLabel10">
    <w:name w:val="ListLabel 10"/>
    <w:qFormat/>
    <w:rPr>
      <w:rFonts w:cs="Symbol"/>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34"/>
    <w:qFormat/>
    <w:rsid w:val="00d87b2f"/>
    <w:pPr>
      <w:spacing w:before="0" w:after="160"/>
      <w:ind w:left="720" w:hanging="0"/>
      <w:contextualSpacing/>
    </w:pPr>
    <w:rPr/>
  </w:style>
  <w:style w:type="paragraph" w:styleId="BalloonText">
    <w:name w:val="Balloon Text"/>
    <w:basedOn w:val="Normal"/>
    <w:link w:val="TextodegloboCar"/>
    <w:uiPriority w:val="99"/>
    <w:semiHidden/>
    <w:unhideWhenUsed/>
    <w:qFormat/>
    <w:rsid w:val="00c86edf"/>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LibreOffice/5.0.3.2$Linux_x86 LibreOffice_project/00m0$Build-2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2018-04-13T15:39:00Z</dcterms:created>
  <dc:creator>nmanreza</dc:creator>
  <dc:language>es-AR</dc:language>
  <cp:lastModifiedBy>lvetorello </cp:lastModifiedBy>
  <cp:lastPrinted>2018-07-10T08:06:56Z</cp:lastPrinted>
  <dcterms:modified xsi:type="dcterms:W3CDTF">2018-07-10T08:07:02Z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